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284B">
      <w:pPr>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b/>
          <w:bCs/>
          <w:sz w:val="24"/>
          <w:szCs w:val="24"/>
          <w:lang w:eastAsia="ru-RU"/>
        </w:rPr>
        <w:t>Пенсионный Фонд предупреждает: никаких выплат по СНИЛС не существует!</w:t>
      </w:r>
    </w:p>
    <w:p w:rsidR="00000000" w:rsidRDefault="00C9284B">
      <w:pPr>
        <w:spacing w:after="0"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некоторых регионах России вновь зафиксированы действия интернет- мошенников, которые предлагают гражданам через фейковые сайты получение, якобы «положенных» значительных денежных сумм </w:t>
      </w:r>
      <w:r>
        <w:rPr>
          <w:rFonts w:ascii="Times New Roman" w:hAnsi="Times New Roman" w:cs="Times New Roman"/>
          <w:sz w:val="24"/>
          <w:szCs w:val="24"/>
        </w:rPr>
        <w:t xml:space="preserve">по номеру СНИЛС – документу, подтверждающему наличие регистрации в системе Пенсионного фонда РФ. </w:t>
      </w:r>
    </w:p>
    <w:p w:rsidR="00000000" w:rsidRDefault="00C9284B">
      <w:pPr>
        <w:spacing w:after="0" w:line="36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последнее время создано множество подобных сайтов, ссылки на которые активно распространяются через социальные сети. Неизвестные обещают перевод крупных сум</w:t>
      </w:r>
      <w:r>
        <w:rPr>
          <w:rFonts w:ascii="Times New Roman" w:eastAsia="Times New Roman" w:hAnsi="Times New Roman" w:cs="Times New Roman"/>
          <w:sz w:val="24"/>
          <w:szCs w:val="24"/>
          <w:lang w:eastAsia="ru-RU"/>
        </w:rPr>
        <w:t xml:space="preserve">м, начисленных частными фондами взамен на небольшую комиссию по  предоставлению доступа к базам. Одна из </w:t>
      </w:r>
      <w:r>
        <w:rPr>
          <w:rFonts w:ascii="Times New Roman" w:eastAsia="Times New Roman" w:hAnsi="Times New Roman" w:cs="Times New Roman"/>
          <w:bCs/>
          <w:sz w:val="24"/>
          <w:szCs w:val="24"/>
          <w:lang w:eastAsia="ru-RU"/>
        </w:rPr>
        <w:t>схем обмана в интернете действует</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следующим образом. Гражданин заходит на сайт, который предлагает способ получения выплаты по СНИЛС.  Для поиска начис</w:t>
      </w:r>
      <w:r>
        <w:rPr>
          <w:rFonts w:ascii="Times New Roman" w:eastAsia="Times New Roman" w:hAnsi="Times New Roman" w:cs="Times New Roman"/>
          <w:sz w:val="24"/>
          <w:szCs w:val="24"/>
          <w:lang w:eastAsia="ru-RU"/>
        </w:rPr>
        <w:t xml:space="preserve">ленных средств необходимо </w:t>
      </w:r>
      <w:r>
        <w:rPr>
          <w:rFonts w:ascii="Times New Roman" w:eastAsia="Times New Roman" w:hAnsi="Times New Roman" w:cs="Times New Roman"/>
          <w:bCs/>
          <w:sz w:val="24"/>
          <w:szCs w:val="24"/>
          <w:lang w:eastAsia="ru-RU"/>
        </w:rPr>
        <w:t>ввести номер документа (СНИЛС)</w:t>
      </w:r>
      <w:r>
        <w:rPr>
          <w:rFonts w:ascii="Times New Roman" w:eastAsia="Times New Roman" w:hAnsi="Times New Roman" w:cs="Times New Roman"/>
          <w:sz w:val="24"/>
          <w:szCs w:val="24"/>
          <w:lang w:eastAsia="ru-RU"/>
        </w:rPr>
        <w:t>. В результате, п</w:t>
      </w:r>
      <w:r>
        <w:rPr>
          <w:rFonts w:ascii="Times New Roman" w:hAnsi="Times New Roman" w:cs="Times New Roman"/>
          <w:sz w:val="24"/>
          <w:szCs w:val="24"/>
        </w:rPr>
        <w:t xml:space="preserve">о итогам «проверки» выводится крупная сумма и названия страховых компаний, в которых она начислена. В среднем сумма может достигать </w:t>
      </w:r>
      <w:r>
        <w:rPr>
          <w:rStyle w:val="Strong"/>
          <w:rFonts w:ascii="Times New Roman" w:hAnsi="Times New Roman" w:cs="Times New Roman"/>
          <w:b w:val="0"/>
          <w:sz w:val="24"/>
          <w:szCs w:val="24"/>
        </w:rPr>
        <w:t>150 000 рублей</w:t>
      </w:r>
      <w:r>
        <w:rPr>
          <w:rFonts w:ascii="Times New Roman" w:hAnsi="Times New Roman" w:cs="Times New Roman"/>
          <w:sz w:val="24"/>
          <w:szCs w:val="24"/>
        </w:rPr>
        <w:t>. Для получения доступа к базам неизв</w:t>
      </w:r>
      <w:r>
        <w:rPr>
          <w:rFonts w:ascii="Times New Roman" w:hAnsi="Times New Roman" w:cs="Times New Roman"/>
          <w:sz w:val="24"/>
          <w:szCs w:val="24"/>
        </w:rPr>
        <w:t xml:space="preserve">естные требуют </w:t>
      </w:r>
      <w:r>
        <w:rPr>
          <w:rStyle w:val="Strong"/>
          <w:rFonts w:ascii="Times New Roman" w:hAnsi="Times New Roman" w:cs="Times New Roman"/>
          <w:b w:val="0"/>
          <w:sz w:val="24"/>
          <w:szCs w:val="24"/>
        </w:rPr>
        <w:t>заплатить комиссию</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дальнейшем, под различными предлогами, с обманутого вымогаются новые суммы за </w:t>
      </w:r>
      <w:r>
        <w:rPr>
          <w:rFonts w:ascii="Times New Roman" w:eastAsia="Times New Roman" w:hAnsi="Times New Roman" w:cs="Times New Roman"/>
          <w:bCs/>
          <w:sz w:val="24"/>
          <w:szCs w:val="24"/>
          <w:lang w:eastAsia="ru-RU"/>
        </w:rPr>
        <w:t>дополнительные услуги. Например, за</w:t>
      </w:r>
      <w:r>
        <w:rPr>
          <w:rFonts w:ascii="Times New Roman" w:eastAsia="Times New Roman" w:hAnsi="Times New Roman" w:cs="Times New Roman"/>
          <w:sz w:val="24"/>
          <w:szCs w:val="24"/>
          <w:lang w:eastAsia="ru-RU"/>
        </w:rPr>
        <w:t xml:space="preserve"> идентификацию личности,  за пин-код для защиты, за ключ безопасности, деньги  для оплаты услуг консультан</w:t>
      </w:r>
      <w:r>
        <w:rPr>
          <w:rFonts w:ascii="Times New Roman" w:eastAsia="Times New Roman" w:hAnsi="Times New Roman" w:cs="Times New Roman"/>
          <w:sz w:val="24"/>
          <w:szCs w:val="24"/>
          <w:lang w:eastAsia="ru-RU"/>
        </w:rPr>
        <w:t xml:space="preserve">та и т.д. </w:t>
      </w:r>
    </w:p>
    <w:p w:rsidR="00000000" w:rsidRDefault="00C9284B">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Никаких выплат по СНИЛС не существует</w:t>
      </w:r>
      <w:r>
        <w:rPr>
          <w:rFonts w:ascii="Times New Roman" w:eastAsia="Times New Roman" w:hAnsi="Times New Roman" w:cs="Times New Roman"/>
          <w:sz w:val="24"/>
          <w:szCs w:val="24"/>
          <w:lang w:eastAsia="ru-RU"/>
        </w:rPr>
        <w:t>, поэтому счета за дополнительные платные услуги будут выставляться постоянно, пока человек не поймет, что его обманули.</w:t>
      </w:r>
    </w:p>
    <w:p w:rsidR="00000000" w:rsidRDefault="00C9284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Избежать проблем с пенсионными накоплениями помогут следующие рекомендации:</w:t>
      </w:r>
    </w:p>
    <w:p w:rsidR="00000000" w:rsidRDefault="00C9284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сообщать</w:t>
      </w:r>
      <w:r>
        <w:rPr>
          <w:rFonts w:ascii="Times New Roman" w:eastAsia="Times New Roman" w:hAnsi="Times New Roman" w:cs="Times New Roman"/>
          <w:sz w:val="24"/>
          <w:szCs w:val="24"/>
          <w:lang w:eastAsia="ru-RU"/>
        </w:rPr>
        <w:t xml:space="preserve"> номер СНИЛС посторонним лицам, не предоставлять третьим лица копии документов, не открывать дверь незнакомым людям, предлагающим работу или услуги Пенсионного фонда (работники ПФР не посещают граждан на дому), внимательно читать предлагаемые соглашения пе</w:t>
      </w:r>
      <w:r>
        <w:rPr>
          <w:rFonts w:ascii="Times New Roman" w:eastAsia="Times New Roman" w:hAnsi="Times New Roman" w:cs="Times New Roman"/>
          <w:sz w:val="24"/>
          <w:szCs w:val="24"/>
          <w:lang w:eastAsia="ru-RU"/>
        </w:rPr>
        <w:t xml:space="preserve">ред их подписанием, не пользоваться услугами сомнительных агентств и кредитных организаций. </w:t>
      </w:r>
    </w:p>
    <w:p w:rsidR="00000000" w:rsidRDefault="00C9284B">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Напомним, что и</w:t>
      </w:r>
      <w:r>
        <w:rPr>
          <w:rFonts w:ascii="Times New Roman" w:hAnsi="Times New Roman" w:cs="Times New Roman"/>
          <w:sz w:val="24"/>
          <w:szCs w:val="24"/>
        </w:rPr>
        <w:t xml:space="preserve">з страховых взносов граждан, поступающих в ПФР, формируется страховая и накопительная пенсии. Контроль над пенсионными накоплениями производится со </w:t>
      </w:r>
      <w:r>
        <w:rPr>
          <w:rFonts w:ascii="Times New Roman" w:hAnsi="Times New Roman" w:cs="Times New Roman"/>
          <w:sz w:val="24"/>
          <w:szCs w:val="24"/>
        </w:rPr>
        <w:t>стороны Пенсионного фонда или негосударственных организаций. Гражданин имеет право выбора, кому доверить распоряжение данными средствами.</w:t>
      </w:r>
    </w:p>
    <w:p w:rsidR="00000000" w:rsidRDefault="00C9284B">
      <w:pPr>
        <w:spacing w:after="0" w:line="360" w:lineRule="auto"/>
        <w:jc w:val="both"/>
      </w:pPr>
      <w:r>
        <w:rPr>
          <w:rFonts w:ascii="Times New Roman" w:eastAsia="Times New Roman" w:hAnsi="Times New Roman" w:cs="Times New Roman"/>
          <w:sz w:val="24"/>
          <w:szCs w:val="24"/>
          <w:lang w:eastAsia="ru-RU"/>
        </w:rPr>
        <w:t>Самый действенный способ защитить накопления от действий мошенников — о</w:t>
      </w:r>
      <w:r>
        <w:rPr>
          <w:rFonts w:ascii="Times New Roman" w:hAnsi="Times New Roman" w:cs="Times New Roman"/>
          <w:sz w:val="24"/>
          <w:szCs w:val="24"/>
        </w:rPr>
        <w:t xml:space="preserve">бращение в Пенсионный фонд по месту проживания </w:t>
      </w:r>
      <w:r>
        <w:rPr>
          <w:rFonts w:ascii="Times New Roman" w:hAnsi="Times New Roman" w:cs="Times New Roman"/>
          <w:sz w:val="24"/>
          <w:szCs w:val="24"/>
        </w:rPr>
        <w:t xml:space="preserve">или фактического нахождения. Специалисты отделения предоставят всю информацию о Ваших пенсионных правах и переводе средств пенсионных накоплений. </w:t>
      </w:r>
      <w:r>
        <w:rPr>
          <w:rFonts w:ascii="Times New Roman" w:eastAsia="Times New Roman" w:hAnsi="Times New Roman" w:cs="Times New Roman"/>
          <w:sz w:val="24"/>
          <w:szCs w:val="24"/>
          <w:lang w:eastAsia="ru-RU"/>
        </w:rPr>
        <w:t xml:space="preserve">Проконсультироваться по необходимой Вам информации можно по телефону горячей линии </w:t>
      </w:r>
      <w:r>
        <w:rPr>
          <w:rFonts w:ascii="Times New Roman" w:eastAsia="Times New Roman" w:hAnsi="Times New Roman" w:cs="Times New Roman"/>
          <w:sz w:val="24"/>
          <w:szCs w:val="24"/>
          <w:lang w:eastAsia="ru-RU"/>
        </w:rPr>
        <w:t>УПФР в Иловлинском районе 3</w:t>
      </w:r>
      <w:r>
        <w:rPr>
          <w:rFonts w:ascii="Times New Roman" w:eastAsia="Times New Roman" w:hAnsi="Times New Roman" w:cs="Times New Roman"/>
          <w:sz w:val="24"/>
          <w:szCs w:val="24"/>
          <w:lang w:eastAsia="ru-RU"/>
        </w:rPr>
        <w:t>-66-53</w:t>
      </w:r>
      <w:r>
        <w:rPr>
          <w:rFonts w:ascii="Times New Roman" w:eastAsia="Times New Roman" w:hAnsi="Times New Roman" w:cs="Times New Roman"/>
          <w:sz w:val="24"/>
          <w:szCs w:val="24"/>
          <w:lang w:eastAsia="ru-RU"/>
        </w:rPr>
        <w:t>.</w:t>
      </w:r>
    </w:p>
    <w:p w:rsidR="00C9284B" w:rsidRDefault="00C9284B"/>
    <w:sectPr w:rsidR="00C9284B">
      <w:pgSz w:w="11906" w:h="16838"/>
      <w:pgMar w:top="1134" w:right="850" w:bottom="1134" w:left="1701" w:header="720" w:footer="720" w:gutter="0"/>
      <w:cols w:space="72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25"/>
    <w:rsid w:val="007A0025"/>
    <w:rsid w:val="00C9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026A2CA-9A22-45EB-ADEB-B699972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kern w:val="1"/>
      <w:sz w:val="22"/>
      <w:szCs w:val="22"/>
      <w:lang w:eastAsia="en-US"/>
    </w:rPr>
  </w:style>
  <w:style w:type="paragraph" w:styleId="1">
    <w:name w:val="heading 1"/>
    <w:basedOn w:val="a0"/>
    <w:next w:val="a1"/>
    <w:qFormat/>
    <w:pPr>
      <w:numPr>
        <w:numId w:val="1"/>
      </w:numPr>
      <w:outlineLvl w:val="0"/>
    </w:pPr>
  </w:style>
  <w:style w:type="paragraph" w:styleId="2">
    <w:name w:val="heading 2"/>
    <w:basedOn w:val="a0"/>
    <w:next w:val="a1"/>
    <w:qFormat/>
    <w:pPr>
      <w:numPr>
        <w:ilvl w:val="1"/>
        <w:numId w:val="1"/>
      </w:numPr>
      <w:outlineLvl w:val="1"/>
    </w:pPr>
  </w:style>
  <w:style w:type="paragraph" w:styleId="3">
    <w:name w:val="heading 3"/>
    <w:basedOn w:val="a0"/>
    <w:next w:val="a1"/>
    <w:qFormat/>
    <w:pPr>
      <w:numPr>
        <w:ilvl w:val="2"/>
        <w:numId w:val="1"/>
      </w:num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DefaultParagraphFont">
    <w:name w:val="Default Paragraph Font"/>
  </w:style>
  <w:style w:type="character" w:customStyle="1" w:styleId="Strong">
    <w:name w:val="Strong"/>
    <w:basedOn w:val="DefaultParagraphFont"/>
    <w:rPr>
      <w:b/>
      <w:bCs/>
    </w:rPr>
  </w:style>
  <w:style w:type="paragraph" w:customStyle="1" w:styleId="a0">
    <w:name w:val="Заголовок"/>
    <w:basedOn w:val="a"/>
    <w:next w:val="a1"/>
    <w:pPr>
      <w:keepNext/>
      <w:spacing w:before="240" w:after="120"/>
    </w:pPr>
    <w:rPr>
      <w:rFonts w:ascii="Liberation Sans" w:eastAsia="Microsoft YaHei" w:hAnsi="Liberation Sans" w:cs="Mangal"/>
      <w:sz w:val="28"/>
      <w:szCs w:val="28"/>
    </w:rPr>
  </w:style>
  <w:style w:type="paragraph" w:styleId="a1">
    <w:name w:val="Body Text"/>
    <w:basedOn w:val="a"/>
    <w:pPr>
      <w:spacing w:after="140" w:line="288" w:lineRule="auto"/>
    </w:pPr>
  </w:style>
  <w:style w:type="paragraph" w:styleId="a5">
    <w:name w:val="List"/>
    <w:basedOn w:val="a1"/>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a7">
    <w:name w:val="Блочная цитата"/>
    <w:basedOn w:val="a"/>
  </w:style>
  <w:style w:type="paragraph" w:styleId="a8">
    <w:name w:val="Title"/>
    <w:basedOn w:val="a0"/>
    <w:next w:val="a1"/>
    <w:qFormat/>
  </w:style>
  <w:style w:type="paragraph" w:styleId="a9">
    <w:name w:val="Subtitle"/>
    <w:basedOn w:val="a0"/>
    <w:next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044PolovinkinaYUV</dc:creator>
  <cp:keywords/>
  <dc:description/>
  <cp:lastModifiedBy>Евсиков Андрей</cp:lastModifiedBy>
  <cp:revision>2</cp:revision>
  <cp:lastPrinted>2019-08-22T04:12:00Z</cp:lastPrinted>
  <dcterms:created xsi:type="dcterms:W3CDTF">2019-10-24T05:33:00Z</dcterms:created>
  <dcterms:modified xsi:type="dcterms:W3CDTF">2019-10-24T05:33:00Z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