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6699"/>
          <w:sz w:val="12"/>
          <w:szCs w:val="12"/>
        </w:rPr>
      </w:pPr>
      <w:r>
        <w:rPr>
          <w:rFonts w:ascii="Century Gothic" w:hAnsi="Century Gothic"/>
          <w:b/>
          <w:bCs/>
          <w:color w:val="006699"/>
          <w:sz w:val="12"/>
          <w:szCs w:val="12"/>
        </w:rPr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b/>
          <w:bCs/>
          <w:color w:val="006699"/>
          <w:sz w:val="30"/>
          <w:szCs w:val="30"/>
        </w:rPr>
        <w:t>25 февраля 2021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6699"/>
          <w:sz w:val="30"/>
          <w:szCs w:val="30"/>
        </w:rPr>
      </w:pPr>
      <w:r>
        <w:rPr/>
      </w:r>
    </w:p>
    <w:p>
      <w:pPr>
        <w:pStyle w:val="Normal"/>
        <w:jc w:val="center"/>
        <w:rPr/>
      </w:pPr>
      <w:r>
        <w:rPr>
          <w:b/>
          <w:bCs/>
          <w:sz w:val="30"/>
          <w:szCs w:val="30"/>
        </w:rPr>
        <w:t xml:space="preserve">Чистой воды мошенничество: </w:t>
      </w:r>
    </w:p>
    <w:p>
      <w:pPr>
        <w:pStyle w:val="Normal"/>
        <w:jc w:val="center"/>
        <w:rPr/>
      </w:pPr>
      <w:r>
        <w:rPr>
          <w:b/>
          <w:bCs/>
          <w:sz w:val="30"/>
          <w:szCs w:val="30"/>
        </w:rPr>
        <w:t>«</w:t>
      </w:r>
      <w:r>
        <w:rPr>
          <w:b/>
          <w:bCs/>
          <w:sz w:val="30"/>
          <w:szCs w:val="30"/>
        </w:rPr>
        <w:t>о</w:t>
      </w:r>
      <w:r>
        <w:rPr>
          <w:b/>
          <w:bCs/>
          <w:sz w:val="30"/>
          <w:szCs w:val="30"/>
        </w:rPr>
        <w:t>бналичивание» маткапитала подлежит уголовному преследованию</w:t>
      </w:r>
    </w:p>
    <w:p>
      <w:pPr>
        <w:pStyle w:val="Normal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both"/>
        <w:rPr/>
      </w:pPr>
      <w:r>
        <w:rPr>
          <w:rStyle w:val="Style13"/>
          <w:b w:val="false"/>
          <w:bCs w:val="false"/>
          <w:sz w:val="28"/>
          <w:szCs w:val="28"/>
        </w:rPr>
        <w:tab/>
        <w:t xml:space="preserve">Предложения по обналичиванию средств материнского капитала то и дело появляются в рекламе на телевидении, радио, мелькают в соцсетях и сервисах для общения.  </w:t>
      </w:r>
    </w:p>
    <w:p>
      <w:pPr>
        <w:pStyle w:val="Normal"/>
        <w:jc w:val="both"/>
        <w:rPr/>
      </w:pPr>
      <w:r>
        <w:rPr>
          <w:rStyle w:val="Style13"/>
          <w:b w:val="false"/>
          <w:bCs w:val="false"/>
          <w:sz w:val="28"/>
          <w:szCs w:val="28"/>
        </w:rPr>
        <w:tab/>
        <w:t xml:space="preserve">При этом владельцы сертификата на материнский капитал (МСК) должны помнить: прибегая к услугам фирм, предлагающих схемы обналичивания МСК, </w:t>
      </w:r>
      <w:r>
        <w:rPr>
          <w:sz w:val="28"/>
          <w:szCs w:val="28"/>
        </w:rPr>
        <w:t>они совершают уголовное преступление, за которое наказывают, в том числе и лишением свободы.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Важно помнить: материнский капитал перечисляется лицу, имеющему на него право, только в безналичной форме и только для определённых законом целей: улучшение жилищных условий, образование детей, накопительная пенсия мамы, социальная адаптация детей-инвалидов. 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Единственное направление, по которому часть маткапитала можно получить на руки наличными, - это оформление ежемесячной выплаты для семей с небольшим доходом. Других способов получения этих денег закон не предусматривает!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color w:val="006699"/>
          <w:sz w:val="28"/>
          <w:szCs w:val="28"/>
        </w:rPr>
        <w:tab/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В тех случаях, когда владельцы сертификатов на материнский капитал все же обращаются к услугам сомнительных фирм, то их действия оцениваются как недобросовестные и противозаконные, а также влекут потерю средств МСК. Чаще всего правоохранительные органы могут расценить это как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мошенничество при получении выплат группой лиц по предварительному сговору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(статья 159.2 УК РФ). Данная статья предусматривает максимальное наказание в виде лишения свободы до четырех лет. Кроме того, Пенсионный фонд России вправе потребовать с нарушителей и соответствующее возмещение.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ЦЕНТР ПФР № 1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в Волгоградской области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entury Gothic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4"/>
    <w:pPr/>
    <w:rPr/>
  </w:style>
  <w:style w:type="paragraph" w:styleId="2">
    <w:name w:val="Заголовок 2"/>
    <w:basedOn w:val="Style14"/>
    <w:pPr/>
    <w:rPr/>
  </w:style>
  <w:style w:type="paragraph" w:styleId="3">
    <w:name w:val="Заголовок 3"/>
    <w:basedOn w:val="Style14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Symbol"/>
      <w:sz w:val="28"/>
    </w:rPr>
  </w:style>
  <w:style w:type="character" w:styleId="Style13">
    <w:name w:val="Выделение жирным"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20">
    <w:name w:val="Содержимое врезки"/>
    <w:basedOn w:val="Normal"/>
    <w:qFormat/>
    <w:pPr/>
    <w:rPr/>
  </w:style>
  <w:style w:type="paragraph" w:styleId="Style21">
    <w:name w:val="Верхний колонтитул"/>
    <w:basedOn w:val="Normal"/>
    <w:pPr/>
    <w:rPr/>
  </w:style>
  <w:style w:type="paragraph" w:styleId="Style22">
    <w:name w:val="Блочная цитата"/>
    <w:basedOn w:val="Normal"/>
    <w:qFormat/>
    <w:pPr/>
    <w:rPr/>
  </w:style>
  <w:style w:type="paragraph" w:styleId="Style23">
    <w:name w:val="Заглавие"/>
    <w:basedOn w:val="Style14"/>
    <w:pPr/>
    <w:rPr/>
  </w:style>
  <w:style w:type="paragraph" w:styleId="Style24">
    <w:name w:val="Подзаголовок"/>
    <w:basedOn w:val="Style1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Application>LibreOffice/4.4.3.2$Windows_x86 LibreOffice_project/88805f81e9fe61362df02b9941de8e38a9b5fd16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2021-02-25T12:29:03Z</cp:lastPrinted>
  <dcterms:modified xsi:type="dcterms:W3CDTF">2021-02-25T12:29:15Z</dcterms:modified>
  <cp:revision>104</cp:revision>
</cp:coreProperties>
</file>