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Century Gothic" w:hAnsi="Century Gothic"/>
          <w:b/>
          <w:b/>
          <w:bCs/>
          <w:color w:val="006699"/>
          <w:sz w:val="12"/>
          <w:szCs w:val="12"/>
        </w:rPr>
      </w:pPr>
      <w:r>
        <w:rPr>
          <w:rFonts w:ascii="Century Gothic" w:hAnsi="Century Gothic"/>
          <w:b/>
          <w:bCs/>
          <w:color w:val="006699"/>
          <w:sz w:val="12"/>
          <w:szCs w:val="12"/>
        </w:rPr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6"/>
          <w:szCs w:val="26"/>
        </w:rPr>
        <w:t>04 декабря</w:t>
      </w:r>
      <w:r>
        <w:rPr>
          <w:rFonts w:ascii="Century Gothic" w:hAnsi="Century Gothic"/>
          <w:b/>
          <w:bCs/>
          <w:color w:val="006699"/>
          <w:sz w:val="26"/>
          <w:szCs w:val="26"/>
        </w:rPr>
        <w:t xml:space="preserve"> 2020</w:t>
      </w:r>
    </w:p>
    <w:p>
      <w:pPr>
        <w:pStyle w:val="Normal"/>
        <w:jc w:val="right"/>
        <w:rPr>
          <w:rFonts w:ascii="Century Gothic" w:hAnsi="Century Gothic"/>
          <w:b/>
          <w:b/>
          <w:bCs/>
          <w:color w:val="006699"/>
          <w:sz w:val="26"/>
          <w:szCs w:val="26"/>
        </w:rPr>
      </w:pPr>
      <w:r>
        <w:rPr>
          <w:rFonts w:ascii="Century Gothic" w:hAnsi="Century Gothic"/>
          <w:b/>
          <w:bCs/>
          <w:color w:val="006699"/>
          <w:sz w:val="26"/>
          <w:szCs w:val="26"/>
        </w:rPr>
      </w:r>
    </w:p>
    <w:p>
      <w:pPr>
        <w:pStyle w:val="Normal"/>
        <w:spacing w:before="0" w:after="0"/>
        <w:ind w:firstLine="708"/>
        <w:jc w:val="center"/>
        <w:rPr>
          <w:rFonts w:ascii="Liberation Sans" w:hAnsi="Liberation Sans"/>
          <w:b/>
          <w:b/>
          <w:bCs/>
          <w:color w:val="000000"/>
          <w:sz w:val="26"/>
          <w:szCs w:val="26"/>
        </w:rPr>
      </w:pPr>
      <w:r>
        <w:rPr>
          <w:rFonts w:cs="Times New Roman" w:ascii="Liberation Sans" w:hAnsi="Liberation Sans"/>
          <w:b/>
          <w:bCs/>
          <w:color w:val="000000"/>
          <w:sz w:val="26"/>
          <w:szCs w:val="26"/>
        </w:rPr>
        <w:t>Свыше</w:t>
      </w:r>
      <w:r>
        <w:rPr>
          <w:rFonts w:cs="Times New Roman" w:ascii="Liberation Sans" w:hAnsi="Liberation Sans"/>
          <w:b/>
          <w:bCs/>
          <w:color w:val="000000"/>
          <w:sz w:val="26"/>
          <w:szCs w:val="26"/>
        </w:rPr>
        <w:t xml:space="preserve"> 1 700 </w:t>
      </w:r>
      <w:r>
        <w:rPr>
          <w:rFonts w:cs="Times New Roman" w:ascii="Liberation Sans" w:hAnsi="Liberation Sans"/>
          <w:b/>
          <w:bCs/>
          <w:color w:val="000000"/>
          <w:sz w:val="26"/>
          <w:szCs w:val="26"/>
        </w:rPr>
        <w:t xml:space="preserve"> </w:t>
      </w:r>
      <w:r>
        <w:rPr>
          <w:rFonts w:cs="Times New Roman" w:ascii="Liberation Sans" w:hAnsi="Liberation Sans"/>
          <w:b/>
          <w:bCs/>
          <w:color w:val="000000"/>
          <w:sz w:val="26"/>
          <w:szCs w:val="26"/>
        </w:rPr>
        <w:t>жителей области</w:t>
      </w:r>
      <w:r>
        <w:rPr>
          <w:rFonts w:cs="Times New Roman" w:ascii="Liberation Sans" w:hAnsi="Liberation Sans"/>
          <w:b/>
          <w:bCs/>
          <w:color w:val="000000"/>
          <w:sz w:val="26"/>
          <w:szCs w:val="26"/>
        </w:rPr>
        <w:t xml:space="preserve"> приняли решение перевести </w:t>
      </w:r>
    </w:p>
    <w:p>
      <w:pPr>
        <w:pStyle w:val="Normal"/>
        <w:spacing w:before="0" w:after="0"/>
        <w:ind w:firstLine="708"/>
        <w:jc w:val="center"/>
        <w:rPr>
          <w:rFonts w:ascii="Liberation Sans" w:hAnsi="Liberation Sans"/>
          <w:b w:val="false"/>
          <w:b w:val="false"/>
          <w:bCs w:val="false"/>
          <w:color w:val="000000"/>
          <w:sz w:val="26"/>
          <w:szCs w:val="26"/>
        </w:rPr>
      </w:pPr>
      <w:r>
        <w:rPr>
          <w:rFonts w:cs="Times New Roman" w:ascii="Liberation Sans" w:hAnsi="Liberation Sans"/>
          <w:b/>
          <w:bCs/>
          <w:color w:val="000000"/>
          <w:sz w:val="26"/>
          <w:szCs w:val="26"/>
        </w:rPr>
        <w:t xml:space="preserve">свои пенсионные </w:t>
      </w:r>
      <w:r>
        <w:rPr>
          <w:rFonts w:cs="Times New Roman" w:ascii="Liberation Sans" w:hAnsi="Liberation Sans"/>
          <w:b/>
          <w:bCs/>
          <w:color w:val="000000"/>
          <w:sz w:val="26"/>
          <w:szCs w:val="26"/>
        </w:rPr>
        <w:t>накопления</w:t>
      </w:r>
      <w:r>
        <w:rPr>
          <w:rFonts w:cs="Times New Roman" w:ascii="Liberation Sans" w:hAnsi="Liberation Sans"/>
          <w:b w:val="false"/>
          <w:bCs w:val="false"/>
          <w:color w:val="000000"/>
          <w:sz w:val="26"/>
          <w:szCs w:val="26"/>
        </w:rPr>
        <w:t xml:space="preserve"> </w:t>
      </w:r>
    </w:p>
    <w:p>
      <w:pPr>
        <w:pStyle w:val="Normal"/>
        <w:spacing w:before="0" w:after="0"/>
        <w:ind w:firstLine="708"/>
        <w:jc w:val="center"/>
        <w:rPr>
          <w:rFonts w:cs="Times New Roman"/>
        </w:rPr>
      </w:pPr>
      <w:r>
        <w:rPr>
          <w:rFonts w:ascii="Liberation Sans" w:hAnsi="Liberation Sans"/>
          <w:b w:val="false"/>
          <w:bCs w:val="false"/>
          <w:color w:val="000000"/>
          <w:sz w:val="12"/>
          <w:szCs w:val="12"/>
        </w:rPr>
      </w:r>
    </w:p>
    <w:p>
      <w:pPr>
        <w:pStyle w:val="Normal"/>
        <w:spacing w:before="0" w:after="0"/>
        <w:ind w:firstLine="708"/>
        <w:jc w:val="both"/>
        <w:rPr>
          <w:rFonts w:ascii="Liberation Sans" w:hAnsi="Liberation Sans"/>
          <w:b w:val="false"/>
          <w:b w:val="false"/>
          <w:bCs w:val="false"/>
          <w:sz w:val="26"/>
          <w:szCs w:val="26"/>
        </w:rPr>
      </w:pPr>
      <w:r>
        <w:rPr>
          <w:rFonts w:cs="Times New Roman" w:ascii="Liberation Sans" w:hAnsi="Liberation Sans"/>
          <w:b w:val="false"/>
          <w:bCs w:val="false"/>
          <w:sz w:val="26"/>
          <w:szCs w:val="26"/>
        </w:rPr>
        <w:t>1 декабря заверш</w:t>
      </w:r>
      <w:r>
        <w:rPr>
          <w:rFonts w:cs="Times New Roman" w:ascii="Liberation Sans" w:hAnsi="Liberation Sans"/>
          <w:b w:val="false"/>
          <w:bCs w:val="false"/>
          <w:sz w:val="26"/>
          <w:szCs w:val="26"/>
        </w:rPr>
        <w:t>ё</w:t>
      </w:r>
      <w:r>
        <w:rPr>
          <w:rFonts w:cs="Times New Roman" w:ascii="Liberation Sans" w:hAnsi="Liberation Sans"/>
          <w:b w:val="false"/>
          <w:bCs w:val="false"/>
          <w:sz w:val="26"/>
          <w:szCs w:val="26"/>
        </w:rPr>
        <w:t>н при</w:t>
      </w:r>
      <w:r>
        <w:rPr>
          <w:rFonts w:cs="Times New Roman" w:ascii="Liberation Sans" w:hAnsi="Liberation Sans"/>
          <w:b w:val="false"/>
          <w:bCs w:val="false"/>
          <w:sz w:val="26"/>
          <w:szCs w:val="26"/>
        </w:rPr>
        <w:t>ё</w:t>
      </w:r>
      <w:r>
        <w:rPr>
          <w:rFonts w:cs="Times New Roman" w:ascii="Liberation Sans" w:hAnsi="Liberation Sans"/>
          <w:b w:val="false"/>
          <w:bCs w:val="false"/>
          <w:sz w:val="26"/>
          <w:szCs w:val="26"/>
        </w:rPr>
        <w:t xml:space="preserve">м заявлений о переводе (о досрочном переводе) средств пенсионных накоплений в негосударственные пенсионные фонды и управляющие компании (из ПФР в НПФ, из НПФ в ПФР, из одного НПФ в другой). </w:t>
      </w:r>
    </w:p>
    <w:p>
      <w:pPr>
        <w:pStyle w:val="Normal"/>
        <w:spacing w:before="0" w:after="0"/>
        <w:ind w:firstLine="708"/>
        <w:jc w:val="both"/>
        <w:rPr>
          <w:rFonts w:ascii="Liberation Sans" w:hAnsi="Liberation Sans"/>
          <w:b w:val="false"/>
          <w:b w:val="false"/>
          <w:bCs w:val="false"/>
          <w:i/>
          <w:i/>
          <w:iCs/>
          <w:sz w:val="26"/>
          <w:szCs w:val="26"/>
        </w:rPr>
      </w:pPr>
      <w:r>
        <w:rPr>
          <w:rFonts w:cs="Times New Roman" w:ascii="Liberation Sans" w:hAnsi="Liberation Sans"/>
          <w:b w:val="false"/>
          <w:bCs w:val="false"/>
          <w:i/>
          <w:iCs/>
          <w:sz w:val="26"/>
          <w:szCs w:val="26"/>
        </w:rPr>
        <w:t>На сегодняшний день подведены предварительные итоги при</w:t>
      </w:r>
      <w:r>
        <w:rPr>
          <w:rFonts w:cs="Times New Roman" w:ascii="Liberation Sans" w:hAnsi="Liberation Sans"/>
          <w:b w:val="false"/>
          <w:bCs w:val="false"/>
          <w:i/>
          <w:iCs/>
          <w:sz w:val="26"/>
          <w:szCs w:val="26"/>
        </w:rPr>
        <w:t>ё</w:t>
      </w:r>
      <w:r>
        <w:rPr>
          <w:rFonts w:cs="Times New Roman" w:ascii="Liberation Sans" w:hAnsi="Liberation Sans"/>
          <w:b w:val="false"/>
          <w:bCs w:val="false"/>
          <w:i/>
          <w:iCs/>
          <w:sz w:val="26"/>
          <w:szCs w:val="26"/>
        </w:rPr>
        <w:t>ма таких заявлений. Согласно им за текущий год в ОПФР по Волгоградской области было подано 1 774</w:t>
      </w:r>
      <w:r>
        <w:rPr>
          <w:rFonts w:cs="Times New Roman" w:ascii="Liberation Sans" w:hAnsi="Liberation Sans"/>
          <w:b w:val="false"/>
          <w:bCs w:val="false"/>
          <w:i/>
          <w:iCs/>
          <w:color w:val="FF0000"/>
          <w:sz w:val="26"/>
          <w:szCs w:val="26"/>
        </w:rPr>
        <w:t xml:space="preserve"> </w:t>
      </w:r>
      <w:r>
        <w:rPr>
          <w:rFonts w:cs="Times New Roman" w:ascii="Liberation Sans" w:hAnsi="Liberation Sans"/>
          <w:b w:val="false"/>
          <w:bCs w:val="false"/>
          <w:i/>
          <w:iCs/>
          <w:sz w:val="26"/>
          <w:szCs w:val="26"/>
        </w:rPr>
        <w:t>заявления о переводе средств, в том числе 1 008</w:t>
      </w:r>
      <w:r>
        <w:rPr>
          <w:rFonts w:cs="Times New Roman" w:ascii="Liberation Sans" w:hAnsi="Liberation Sans"/>
          <w:b w:val="false"/>
          <w:bCs w:val="false"/>
          <w:i/>
          <w:iCs/>
          <w:color w:val="FF0000"/>
          <w:sz w:val="26"/>
          <w:szCs w:val="26"/>
        </w:rPr>
        <w:t xml:space="preserve"> </w:t>
      </w:r>
      <w:r>
        <w:rPr>
          <w:rFonts w:cs="Times New Roman" w:ascii="Liberation Sans" w:hAnsi="Liberation Sans"/>
          <w:b w:val="false"/>
          <w:bCs w:val="false"/>
          <w:i/>
          <w:iCs/>
          <w:sz w:val="26"/>
          <w:szCs w:val="26"/>
        </w:rPr>
        <w:t xml:space="preserve">заявлений поданы через клиентские службы </w:t>
      </w:r>
      <w:r>
        <w:rPr>
          <w:rFonts w:cs="Times New Roman" w:ascii="Liberation Sans" w:hAnsi="Liberation Sans"/>
          <w:b w:val="false"/>
          <w:bCs w:val="false"/>
          <w:i/>
          <w:iCs/>
          <w:sz w:val="26"/>
          <w:szCs w:val="26"/>
        </w:rPr>
        <w:t>ПФР</w:t>
      </w:r>
      <w:r>
        <w:rPr>
          <w:rFonts w:cs="Times New Roman" w:ascii="Liberation Sans" w:hAnsi="Liberation Sans"/>
          <w:b w:val="false"/>
          <w:bCs w:val="false"/>
          <w:i/>
          <w:iCs/>
          <w:sz w:val="26"/>
          <w:szCs w:val="26"/>
        </w:rPr>
        <w:t xml:space="preserve">, 766 – через личный кабинет на </w:t>
      </w:r>
      <w:r>
        <w:rPr>
          <w:rFonts w:cs="Times New Roman" w:ascii="Liberation Sans" w:hAnsi="Liberation Sans"/>
          <w:b w:val="false"/>
          <w:bCs w:val="false"/>
          <w:i/>
          <w:iCs/>
          <w:sz w:val="26"/>
          <w:szCs w:val="26"/>
        </w:rPr>
        <w:t>портале Госуслуг</w:t>
      </w:r>
      <w:r>
        <w:rPr>
          <w:rFonts w:cs="Times New Roman" w:ascii="Liberation Sans" w:hAnsi="Liberation Sans"/>
          <w:b w:val="false"/>
          <w:bCs w:val="false"/>
          <w:i/>
          <w:iCs/>
          <w:sz w:val="26"/>
          <w:szCs w:val="26"/>
        </w:rPr>
        <w:t>.</w:t>
      </w:r>
    </w:p>
    <w:p>
      <w:pPr>
        <w:pStyle w:val="Normal"/>
        <w:spacing w:before="0" w:after="0"/>
        <w:ind w:firstLine="708"/>
        <w:jc w:val="both"/>
        <w:rPr>
          <w:rFonts w:ascii="Liberation Sans" w:hAnsi="Liberation Sans"/>
          <w:b w:val="false"/>
          <w:b w:val="false"/>
          <w:bCs w:val="false"/>
          <w:sz w:val="26"/>
          <w:szCs w:val="26"/>
        </w:rPr>
      </w:pPr>
      <w:r>
        <w:rPr>
          <w:rFonts w:cs="Times New Roman" w:ascii="Liberation Sans" w:hAnsi="Liberation Sans"/>
          <w:b w:val="false"/>
          <w:bCs w:val="false"/>
          <w:sz w:val="26"/>
          <w:szCs w:val="26"/>
        </w:rPr>
        <w:t xml:space="preserve">Но если гражданин передумал менять страховщика по обязательному пенсионному страхованию, то </w:t>
      </w:r>
      <w:r>
        <w:rPr>
          <w:rFonts w:cs="Times New Roman" w:ascii="Liberation Sans" w:hAnsi="Liberation Sans"/>
          <w:b w:val="false"/>
          <w:bCs w:val="false"/>
          <w:sz w:val="26"/>
          <w:szCs w:val="26"/>
          <w:u w:val="single"/>
        </w:rPr>
        <w:t>до 31 декабря текущего года ещ</w:t>
      </w:r>
      <w:r>
        <w:rPr>
          <w:rFonts w:cs="Times New Roman" w:ascii="Liberation Sans" w:hAnsi="Liberation Sans"/>
          <w:b w:val="false"/>
          <w:bCs w:val="false"/>
          <w:sz w:val="26"/>
          <w:szCs w:val="26"/>
          <w:u w:val="single"/>
        </w:rPr>
        <w:t>ё</w:t>
      </w:r>
      <w:r>
        <w:rPr>
          <w:rFonts w:cs="Times New Roman" w:ascii="Liberation Sans" w:hAnsi="Liberation Sans"/>
          <w:b w:val="false"/>
          <w:bCs w:val="false"/>
          <w:sz w:val="26"/>
          <w:szCs w:val="26"/>
          <w:u w:val="single"/>
        </w:rPr>
        <w:t xml:space="preserve"> есть возможность отозвать ранее поданное заявление о переходе в новый фонд</w:t>
      </w:r>
      <w:r>
        <w:rPr>
          <w:rFonts w:cs="Times New Roman" w:ascii="Liberation Sans" w:hAnsi="Liberation Sans"/>
          <w:b w:val="false"/>
          <w:bCs w:val="false"/>
          <w:sz w:val="26"/>
          <w:szCs w:val="26"/>
        </w:rPr>
        <w:t>, подав уведомление об отказе от смены страховщика. На 1 декабря гражданами подано 35</w:t>
      </w:r>
      <w:r>
        <w:rPr>
          <w:rFonts w:cs="Times New Roman" w:ascii="Liberation Sans" w:hAnsi="Liberation Sans"/>
          <w:b w:val="false"/>
          <w:bCs w:val="false"/>
          <w:color w:val="FF0000"/>
          <w:sz w:val="26"/>
          <w:szCs w:val="26"/>
        </w:rPr>
        <w:t xml:space="preserve"> </w:t>
      </w:r>
      <w:r>
        <w:rPr>
          <w:rFonts w:cs="Times New Roman" w:ascii="Liberation Sans" w:hAnsi="Liberation Sans"/>
          <w:b w:val="false"/>
          <w:bCs w:val="false"/>
          <w:sz w:val="26"/>
          <w:szCs w:val="26"/>
        </w:rPr>
        <w:t>таких уведомлений.</w:t>
      </w:r>
    </w:p>
    <w:p>
      <w:pPr>
        <w:pStyle w:val="Normal"/>
        <w:spacing w:before="0" w:after="0"/>
        <w:ind w:firstLine="708"/>
        <w:jc w:val="both"/>
        <w:rPr>
          <w:rFonts w:ascii="Liberation Sans" w:hAnsi="Liberation Sans"/>
          <w:b w:val="false"/>
          <w:b w:val="false"/>
          <w:bCs w:val="false"/>
          <w:sz w:val="26"/>
          <w:szCs w:val="26"/>
        </w:rPr>
      </w:pPr>
      <w:r>
        <w:rPr>
          <w:rFonts w:cs="Times New Roman" w:ascii="Liberation Sans" w:hAnsi="Liberation Sans"/>
          <w:b w:val="false"/>
          <w:bCs w:val="false"/>
          <w:sz w:val="26"/>
          <w:szCs w:val="26"/>
        </w:rPr>
        <w:t>Кроме того, граждане, которые формируют свои пенсионные накопления в Пенсионном фонде РФ, но хотят сменить инвестиционный портфель (управляющую компанию), также до 31 декабря могут сделать свой выбор, подав соответствующее заявление.</w:t>
      </w:r>
    </w:p>
    <w:p>
      <w:pPr>
        <w:pStyle w:val="Normal"/>
        <w:spacing w:before="0" w:after="0"/>
        <w:ind w:firstLine="708"/>
        <w:jc w:val="both"/>
        <w:rPr>
          <w:rFonts w:ascii="Liberation Sans" w:hAnsi="Liberation Sans"/>
          <w:b w:val="false"/>
          <w:b w:val="false"/>
          <w:bCs w:val="false"/>
          <w:sz w:val="26"/>
          <w:szCs w:val="26"/>
        </w:rPr>
      </w:pPr>
      <w:r>
        <w:rPr>
          <w:rFonts w:cs="Times New Roman" w:ascii="Liberation Sans" w:hAnsi="Liberation Sans"/>
          <w:b w:val="false"/>
          <w:bCs w:val="false"/>
          <w:sz w:val="26"/>
          <w:szCs w:val="26"/>
        </w:rPr>
        <w:t>Напомним, заявления о смене страховщика, о выборе управляющей компании, уведомления об отказе от смены страховщика могут быть поданы только двумя способами:</w:t>
      </w:r>
    </w:p>
    <w:p>
      <w:pPr>
        <w:pStyle w:val="Normal"/>
        <w:spacing w:before="0" w:after="0"/>
        <w:jc w:val="both"/>
        <w:rPr>
          <w:rFonts w:ascii="Liberation Sans" w:hAnsi="Liberation Sans"/>
          <w:b w:val="false"/>
          <w:b w:val="false"/>
          <w:bCs w:val="false"/>
          <w:sz w:val="26"/>
          <w:szCs w:val="26"/>
        </w:rPr>
      </w:pPr>
      <w:r>
        <w:rPr>
          <w:rFonts w:cs="Times New Roman" w:ascii="Liberation Sans" w:hAnsi="Liberation Sans"/>
          <w:b w:val="false"/>
          <w:bCs w:val="false"/>
          <w:sz w:val="26"/>
          <w:szCs w:val="26"/>
        </w:rPr>
        <w:t>- лично или через представителя, надел</w:t>
      </w:r>
      <w:r>
        <w:rPr>
          <w:rFonts w:cs="Times New Roman" w:ascii="Liberation Sans" w:hAnsi="Liberation Sans"/>
          <w:b w:val="false"/>
          <w:bCs w:val="false"/>
          <w:sz w:val="26"/>
          <w:szCs w:val="26"/>
        </w:rPr>
        <w:t>ё</w:t>
      </w:r>
      <w:r>
        <w:rPr>
          <w:rFonts w:cs="Times New Roman" w:ascii="Liberation Sans" w:hAnsi="Liberation Sans"/>
          <w:b w:val="false"/>
          <w:bCs w:val="false"/>
          <w:sz w:val="26"/>
          <w:szCs w:val="26"/>
        </w:rPr>
        <w:t>нного правами подписи через нотариальную доверенность, в клиентской службе ПФР;</w:t>
      </w:r>
    </w:p>
    <w:p>
      <w:pPr>
        <w:pStyle w:val="Normal"/>
        <w:jc w:val="both"/>
        <w:rPr>
          <w:rFonts w:ascii="Liberation Sans" w:hAnsi="Liberation Sans" w:eastAsia="Times New Roman" w:cs="Times New Roman"/>
          <w:b w:val="false"/>
          <w:b w:val="false"/>
          <w:bCs w:val="false"/>
          <w:sz w:val="26"/>
          <w:szCs w:val="26"/>
          <w:lang w:eastAsia="ru-RU"/>
        </w:rPr>
      </w:pPr>
      <w:r>
        <w:rPr>
          <w:rFonts w:eastAsia="Times New Roman" w:cs="Times New Roman" w:ascii="Liberation Sans" w:hAnsi="Liberation Sans"/>
          <w:b w:val="false"/>
          <w:bCs w:val="false"/>
          <w:sz w:val="26"/>
          <w:szCs w:val="26"/>
          <w:lang w:eastAsia="ru-RU"/>
        </w:rPr>
        <w:t>- через личный кабинет, с использованием портала госуслуг, заверив заявление усиленной квалифицированной электронной подписью.</w:t>
      </w:r>
    </w:p>
    <w:p>
      <w:pPr>
        <w:pStyle w:val="Normal"/>
        <w:jc w:val="center"/>
        <w:rPr>
          <w:rFonts w:ascii="Century Gothic" w:hAnsi="Century Gothic"/>
          <w:b/>
          <w:b/>
          <w:bCs/>
          <w:color w:val="006699"/>
          <w:sz w:val="26"/>
          <w:szCs w:val="26"/>
        </w:rPr>
      </w:pPr>
      <w:r>
        <w:rPr>
          <w:rFonts w:ascii="Century Gothic" w:hAnsi="Century Gothic"/>
          <w:b/>
          <w:bCs/>
          <w:color w:val="006699"/>
          <w:sz w:val="26"/>
          <w:szCs w:val="26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rFonts w:ascii="Century Gothic" w:hAnsi="Century Gothic"/>
          <w:b/>
          <w:bCs/>
          <w:color w:val="006699"/>
          <w:sz w:val="24"/>
          <w:szCs w:val="24"/>
        </w:rPr>
        <w:t>ЦЕНТР ПФР № 1</w:t>
      </w:r>
    </w:p>
    <w:p>
      <w:pPr>
        <w:pStyle w:val="Normal"/>
        <w:jc w:val="right"/>
        <w:rPr>
          <w:sz w:val="24"/>
          <w:szCs w:val="24"/>
        </w:rPr>
      </w:pPr>
      <w:r>
        <w:rPr>
          <w:rFonts w:ascii="Century Gothic" w:hAnsi="Century Gothic"/>
          <w:b/>
          <w:bCs/>
          <w:color w:val="006699"/>
          <w:sz w:val="24"/>
          <w:szCs w:val="24"/>
        </w:rPr>
        <w:t>по установлению пенсий</w:t>
      </w:r>
    </w:p>
    <w:p>
      <w:pPr>
        <w:pStyle w:val="Normal"/>
        <w:jc w:val="right"/>
        <w:rPr>
          <w:sz w:val="24"/>
          <w:szCs w:val="24"/>
        </w:rPr>
      </w:pPr>
      <w:r>
        <w:rPr>
          <w:rFonts w:ascii="Century Gothic" w:hAnsi="Century Gothic"/>
          <w:b/>
          <w:bCs/>
          <w:color w:val="006699"/>
          <w:sz w:val="24"/>
          <w:szCs w:val="24"/>
        </w:rPr>
        <w:t>в Волгоградской области</w:t>
      </w:r>
    </w:p>
    <w:p>
      <w:pPr>
        <w:pStyle w:val="Normal"/>
        <w:jc w:val="right"/>
        <w:rPr>
          <w:rFonts w:ascii="Century Gothic" w:hAnsi="Century Gothic"/>
          <w:b/>
          <w:b/>
          <w:bCs/>
          <w:color w:val="006699"/>
          <w:sz w:val="26"/>
          <w:szCs w:val="26"/>
        </w:rPr>
      </w:pPr>
      <w:r>
        <w:rPr>
          <w:rFonts w:ascii="Century Gothic" w:hAnsi="Century Gothic"/>
          <w:b/>
          <w:bCs/>
          <w:color w:val="006699"/>
          <w:sz w:val="26"/>
          <w:szCs w:val="26"/>
        </w:rPr>
      </w:r>
    </w:p>
    <w:p>
      <w:pPr>
        <w:pStyle w:val="Normal"/>
        <w:jc w:val="center"/>
        <w:rPr>
          <w:rFonts w:ascii="Liberation Serif" w:hAnsi="Liberation Serif" w:eastAsia="Times New Roman" w:cs="Times New Roman"/>
          <w:b/>
          <w:b/>
          <w:bCs/>
          <w:color w:val="006699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6699"/>
          <w:sz w:val="28"/>
          <w:szCs w:val="28"/>
          <w:lang w:eastAsia="ru-RU"/>
        </w:rPr>
      </w:r>
    </w:p>
    <w:p>
      <w:pPr>
        <w:pStyle w:val="Normal"/>
        <w:jc w:val="right"/>
        <w:rPr/>
      </w:pPr>
      <w:r>
        <w:rPr/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entury Gothic">
    <w:charset w:val="cc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11">
    <w:name w:val="Основной шрифт абзаца1"/>
    <w:qFormat/>
    <w:rPr/>
  </w:style>
  <w:style w:type="character" w:styleId="Style11">
    <w:name w:val="Интернет-ссылка"/>
    <w:basedOn w:val="11"/>
    <w:rPr>
      <w:color w:val="0000FF"/>
      <w:u w:val="single"/>
    </w:rPr>
  </w:style>
  <w:style w:type="character" w:styleId="Style12">
    <w:name w:val="Основной шрифт абзаца"/>
    <w:qFormat/>
    <w:rPr/>
  </w:style>
  <w:style w:type="character" w:styleId="Textexposedshow">
    <w:name w:val="text_exposed_show"/>
    <w:basedOn w:val="Style12"/>
    <w:qFormat/>
    <w:rPr/>
  </w:style>
  <w:style w:type="character" w:styleId="Hascaption">
    <w:name w:val="hascaption"/>
    <w:basedOn w:val="Style12"/>
    <w:qFormat/>
    <w:rPr/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Основной текст с отступом"/>
    <w:basedOn w:val="Normal"/>
    <w:pPr>
      <w:ind w:left="0" w:right="0" w:firstLine="709"/>
      <w:jc w:val="both"/>
    </w:pPr>
    <w:rPr/>
  </w:style>
  <w:style w:type="paragraph" w:styleId="Style19">
    <w:name w:val="Содержимое врезки"/>
    <w:basedOn w:val="Normal"/>
    <w:qFormat/>
    <w:pPr/>
    <w:rPr/>
  </w:style>
  <w:style w:type="paragraph" w:styleId="Style20">
    <w:name w:val="Верхний колонтитул"/>
    <w:basedOn w:val="Normal"/>
    <w:pPr/>
    <w:rPr/>
  </w:style>
  <w:style w:type="paragraph" w:styleId="Style21">
    <w:name w:val="Блочная цитата"/>
    <w:basedOn w:val="Normal"/>
    <w:qFormat/>
    <w:pPr/>
    <w:rPr/>
  </w:style>
  <w:style w:type="paragraph" w:styleId="Style22">
    <w:name w:val="Заглавие"/>
    <w:basedOn w:val="Style13"/>
    <w:pPr/>
    <w:rPr/>
  </w:style>
  <w:style w:type="paragraph" w:styleId="Style23">
    <w:name w:val="Подзаголовок"/>
    <w:basedOn w:val="Style13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LibreOffice/4.4.3.2$Windows_x86 LibreOffice_project/88805f81e9fe61362df02b9941de8e38a9b5fd16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2016-02-02T14:25:47Z</dcterms:created>
  <dc:language>ru-RU</dc:language>
  <cp:lastPrinted>2019-01-21T14:47:01Z</cp:lastPrinted>
  <dcterms:modified xsi:type="dcterms:W3CDTF">2020-12-04T09:50:35Z</dcterms:modified>
  <cp:revision>100</cp:revision>
</cp:coreProperties>
</file>