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C40F21"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2A130C" w:rsidRDefault="002A130C" w:rsidP="002A130C">
      <w:pPr>
        <w:shd w:val="clear" w:color="auto" w:fill="FFFFFF"/>
        <w:spacing w:after="0" w:line="240" w:lineRule="auto"/>
        <w:ind w:firstLine="567"/>
        <w:jc w:val="both"/>
        <w:textAlignment w:val="baseline"/>
        <w:rPr>
          <w:rFonts w:ascii="Times New Roman" w:eastAsia="Times New Roman" w:hAnsi="Times New Roman"/>
          <w:color w:val="333333"/>
          <w:sz w:val="28"/>
          <w:szCs w:val="28"/>
          <w:lang w:eastAsia="ru-RU"/>
        </w:rPr>
      </w:pPr>
    </w:p>
    <w:p w:rsidR="00DB74DA" w:rsidRPr="00161ED3" w:rsidRDefault="00DB74DA" w:rsidP="00DB74DA">
      <w:pPr>
        <w:spacing w:after="0" w:line="240" w:lineRule="auto"/>
        <w:jc w:val="center"/>
        <w:rPr>
          <w:rFonts w:ascii="Times New Roman" w:hAnsi="Times New Roman"/>
          <w:b/>
          <w:sz w:val="28"/>
          <w:szCs w:val="28"/>
        </w:rPr>
      </w:pPr>
      <w:r>
        <w:rPr>
          <w:rFonts w:ascii="Times New Roman" w:hAnsi="Times New Roman"/>
          <w:b/>
          <w:sz w:val="28"/>
          <w:szCs w:val="28"/>
        </w:rPr>
        <w:t>Статья «</w:t>
      </w:r>
      <w:r w:rsidRPr="00161ED3">
        <w:rPr>
          <w:rFonts w:ascii="Times New Roman" w:hAnsi="Times New Roman"/>
          <w:b/>
          <w:sz w:val="28"/>
          <w:szCs w:val="28"/>
        </w:rPr>
        <w:t>Судебное оспаривание решений</w:t>
      </w:r>
    </w:p>
    <w:p w:rsidR="00DB74DA" w:rsidRPr="00161ED3" w:rsidRDefault="00DB74DA" w:rsidP="00DB74DA">
      <w:pPr>
        <w:spacing w:after="0" w:line="240" w:lineRule="auto"/>
        <w:jc w:val="center"/>
        <w:rPr>
          <w:rFonts w:ascii="Times New Roman" w:hAnsi="Times New Roman"/>
          <w:b/>
          <w:color w:val="000000"/>
          <w:sz w:val="28"/>
          <w:szCs w:val="28"/>
        </w:rPr>
      </w:pPr>
      <w:r w:rsidRPr="00161ED3">
        <w:rPr>
          <w:rFonts w:ascii="Times New Roman" w:hAnsi="Times New Roman"/>
          <w:b/>
          <w:sz w:val="28"/>
          <w:szCs w:val="28"/>
        </w:rPr>
        <w:t xml:space="preserve"> Комиссии  </w:t>
      </w:r>
      <w:r w:rsidRPr="00161ED3">
        <w:rPr>
          <w:rFonts w:ascii="Times New Roman" w:hAnsi="Times New Roman"/>
          <w:b/>
          <w:color w:val="000000"/>
          <w:sz w:val="28"/>
          <w:szCs w:val="28"/>
        </w:rPr>
        <w:t>по рассмотрению споров о результатах</w:t>
      </w:r>
    </w:p>
    <w:p w:rsidR="00DB74DA" w:rsidRPr="00161ED3" w:rsidRDefault="00DB74DA" w:rsidP="00DB74DA">
      <w:pPr>
        <w:spacing w:after="0" w:line="240" w:lineRule="auto"/>
        <w:jc w:val="center"/>
        <w:rPr>
          <w:rFonts w:ascii="Times New Roman" w:hAnsi="Times New Roman"/>
          <w:b/>
          <w:sz w:val="28"/>
          <w:szCs w:val="28"/>
        </w:rPr>
      </w:pPr>
      <w:r w:rsidRPr="00161ED3">
        <w:rPr>
          <w:rFonts w:ascii="Times New Roman" w:hAnsi="Times New Roman"/>
          <w:b/>
          <w:color w:val="000000"/>
          <w:sz w:val="28"/>
          <w:szCs w:val="28"/>
        </w:rPr>
        <w:t xml:space="preserve"> определения кадастровой стоимости</w:t>
      </w:r>
      <w:r>
        <w:rPr>
          <w:rFonts w:ascii="Times New Roman" w:hAnsi="Times New Roman"/>
          <w:b/>
          <w:color w:val="000000"/>
          <w:sz w:val="28"/>
          <w:szCs w:val="28"/>
        </w:rPr>
        <w:t>»</w:t>
      </w:r>
    </w:p>
    <w:p w:rsidR="00DB74DA" w:rsidRDefault="00DB74DA" w:rsidP="00DB74DA">
      <w:pPr>
        <w:tabs>
          <w:tab w:val="left" w:pos="8535"/>
        </w:tabs>
        <w:spacing w:after="0" w:line="240" w:lineRule="auto"/>
        <w:jc w:val="both"/>
        <w:rPr>
          <w:rFonts w:ascii="Times New Roman" w:hAnsi="Times New Roman"/>
          <w:sz w:val="28"/>
          <w:szCs w:val="28"/>
        </w:rPr>
      </w:pPr>
      <w:r w:rsidRPr="00906316">
        <w:rPr>
          <w:rFonts w:ascii="Times New Roman" w:hAnsi="Times New Roman"/>
          <w:sz w:val="28"/>
          <w:szCs w:val="28"/>
        </w:rPr>
        <w:t xml:space="preserve">             </w:t>
      </w:r>
    </w:p>
    <w:p w:rsidR="00DB74DA" w:rsidRDefault="00DB74DA" w:rsidP="00DB74DA">
      <w:pPr>
        <w:spacing w:after="0" w:line="240" w:lineRule="auto"/>
        <w:ind w:firstLine="708"/>
        <w:jc w:val="both"/>
        <w:rPr>
          <w:rFonts w:ascii="Times New Roman" w:hAnsi="Times New Roman"/>
          <w:color w:val="000000"/>
          <w:sz w:val="28"/>
          <w:szCs w:val="28"/>
        </w:rPr>
      </w:pPr>
      <w:r w:rsidRPr="003A2F3C">
        <w:rPr>
          <w:rFonts w:ascii="Times New Roman" w:hAnsi="Times New Roman"/>
          <w:sz w:val="28"/>
          <w:szCs w:val="28"/>
        </w:rPr>
        <w:t>Комисси</w:t>
      </w:r>
      <w:r>
        <w:rPr>
          <w:rFonts w:ascii="Times New Roman" w:hAnsi="Times New Roman"/>
          <w:sz w:val="28"/>
          <w:szCs w:val="28"/>
        </w:rPr>
        <w:t>я</w:t>
      </w:r>
      <w:r w:rsidRPr="003A2F3C">
        <w:rPr>
          <w:rFonts w:ascii="Times New Roman" w:hAnsi="Times New Roman"/>
          <w:sz w:val="28"/>
          <w:szCs w:val="28"/>
        </w:rPr>
        <w:t xml:space="preserve"> </w:t>
      </w:r>
      <w:r w:rsidRPr="003A2F3C">
        <w:rPr>
          <w:rFonts w:ascii="Times New Roman" w:hAnsi="Times New Roman"/>
          <w:color w:val="000000"/>
          <w:sz w:val="28"/>
          <w:szCs w:val="28"/>
        </w:rPr>
        <w:t>по рассмотрению споров о результатах определения кадастровой стоимости</w:t>
      </w:r>
      <w:r>
        <w:rPr>
          <w:rFonts w:ascii="Times New Roman" w:hAnsi="Times New Roman"/>
          <w:color w:val="000000"/>
          <w:sz w:val="28"/>
          <w:szCs w:val="28"/>
        </w:rPr>
        <w:t xml:space="preserve"> создается уполномоченным органом, осуществляющим функции по государственной кадастровой оценке в лице  Управления Росреестра Волгоградской области, </w:t>
      </w:r>
      <w:r>
        <w:rPr>
          <w:rFonts w:ascii="Times New Roman" w:hAnsi="Times New Roman"/>
          <w:sz w:val="28"/>
          <w:szCs w:val="28"/>
        </w:rPr>
        <w:t xml:space="preserve">является постоянно действующим коллегиальным органом. </w:t>
      </w:r>
    </w:p>
    <w:p w:rsidR="00DB74DA" w:rsidRDefault="00DB74DA" w:rsidP="00DB74DA">
      <w:pPr>
        <w:spacing w:after="0" w:line="240" w:lineRule="auto"/>
        <w:ind w:firstLine="708"/>
        <w:jc w:val="both"/>
        <w:rPr>
          <w:rFonts w:ascii="Times New Roman" w:hAnsi="Times New Roman"/>
          <w:sz w:val="28"/>
          <w:szCs w:val="28"/>
        </w:rPr>
      </w:pPr>
      <w:r w:rsidRPr="007F5F30">
        <w:rPr>
          <w:rFonts w:ascii="Times New Roman" w:hAnsi="Times New Roman"/>
          <w:sz w:val="28"/>
          <w:szCs w:val="28"/>
        </w:rPr>
        <w:t>Деятельность Комиссии регламентируется положениями Федерального закона от 29.07.1998 № 135-ФЗ «Об оценочной деятельности в Российской Федерации» (далее – Закон об оценочной деятельности), Приказа Минэкономразвития России от 04.05.2012 № 263 «Об утвержд</w:t>
      </w:r>
      <w:r>
        <w:rPr>
          <w:rFonts w:ascii="Times New Roman" w:hAnsi="Times New Roman"/>
          <w:sz w:val="28"/>
          <w:szCs w:val="28"/>
        </w:rPr>
        <w:t>ении порядка создания и работы К</w:t>
      </w:r>
      <w:r w:rsidRPr="007F5F30">
        <w:rPr>
          <w:rFonts w:ascii="Times New Roman" w:hAnsi="Times New Roman"/>
          <w:sz w:val="28"/>
          <w:szCs w:val="28"/>
        </w:rPr>
        <w:t>омиссии по рассмотрению споров о результатах определения кадастровой стоимости и признании утратившим силу приказа Минэкономразвития России от 22.02.2011 № 69» (далее – Порядок</w:t>
      </w:r>
      <w:r>
        <w:rPr>
          <w:rFonts w:ascii="Times New Roman" w:hAnsi="Times New Roman"/>
          <w:sz w:val="28"/>
          <w:szCs w:val="28"/>
        </w:rPr>
        <w:t xml:space="preserve"> создания и работы Комиссии).</w:t>
      </w:r>
    </w:p>
    <w:p w:rsidR="00DB74DA" w:rsidRDefault="00DB74DA" w:rsidP="00DB74DA">
      <w:pPr>
        <w:spacing w:after="0" w:line="240" w:lineRule="auto"/>
        <w:ind w:firstLine="708"/>
        <w:jc w:val="both"/>
        <w:rPr>
          <w:rFonts w:ascii="Times New Roman" w:hAnsi="Times New Roman"/>
          <w:color w:val="000000"/>
          <w:sz w:val="28"/>
          <w:szCs w:val="28"/>
        </w:rPr>
      </w:pPr>
      <w:r>
        <w:rPr>
          <w:rStyle w:val="a4"/>
          <w:rFonts w:ascii="Times New Roman" w:hAnsi="Times New Roman"/>
          <w:b w:val="0"/>
          <w:color w:val="000000"/>
          <w:sz w:val="28"/>
          <w:szCs w:val="28"/>
        </w:rPr>
        <w:t>З</w:t>
      </w:r>
      <w:r w:rsidRPr="003F1D61">
        <w:rPr>
          <w:rStyle w:val="a4"/>
          <w:rFonts w:ascii="Times New Roman" w:hAnsi="Times New Roman"/>
          <w:b w:val="0"/>
          <w:color w:val="000000"/>
          <w:sz w:val="28"/>
          <w:szCs w:val="28"/>
        </w:rPr>
        <w:t>аконом об оценочной деятельности предусмотрена возможность оспаривания правообладателями или иными заинтересованными лицами результатов</w:t>
      </w:r>
      <w:r>
        <w:rPr>
          <w:rStyle w:val="a4"/>
          <w:rFonts w:ascii="Times New Roman" w:hAnsi="Times New Roman"/>
          <w:b w:val="0"/>
          <w:color w:val="000000"/>
          <w:sz w:val="28"/>
          <w:szCs w:val="28"/>
        </w:rPr>
        <w:t xml:space="preserve"> определения кадастровой стоимости </w:t>
      </w:r>
      <w:r w:rsidRPr="003F1D61">
        <w:rPr>
          <w:rStyle w:val="a4"/>
          <w:rFonts w:ascii="Times New Roman" w:hAnsi="Times New Roman"/>
          <w:b w:val="0"/>
          <w:color w:val="000000"/>
          <w:sz w:val="28"/>
          <w:szCs w:val="28"/>
        </w:rPr>
        <w:t>земельн</w:t>
      </w:r>
      <w:r>
        <w:rPr>
          <w:rStyle w:val="a4"/>
          <w:rFonts w:ascii="Times New Roman" w:hAnsi="Times New Roman"/>
          <w:b w:val="0"/>
          <w:color w:val="000000"/>
          <w:sz w:val="28"/>
          <w:szCs w:val="28"/>
        </w:rPr>
        <w:t>ых</w:t>
      </w:r>
      <w:r w:rsidRPr="003F1D61">
        <w:rPr>
          <w:rStyle w:val="a4"/>
          <w:rFonts w:ascii="Times New Roman" w:hAnsi="Times New Roman"/>
          <w:b w:val="0"/>
          <w:color w:val="000000"/>
          <w:sz w:val="28"/>
          <w:szCs w:val="28"/>
        </w:rPr>
        <w:t xml:space="preserve"> участк</w:t>
      </w:r>
      <w:r>
        <w:rPr>
          <w:rStyle w:val="a4"/>
          <w:rFonts w:ascii="Times New Roman" w:hAnsi="Times New Roman"/>
          <w:b w:val="0"/>
          <w:color w:val="000000"/>
          <w:sz w:val="28"/>
          <w:szCs w:val="28"/>
        </w:rPr>
        <w:t>ов</w:t>
      </w:r>
      <w:r w:rsidRPr="003F1D61">
        <w:rPr>
          <w:rStyle w:val="a4"/>
          <w:rFonts w:ascii="Times New Roman" w:hAnsi="Times New Roman"/>
          <w:b w:val="0"/>
          <w:color w:val="000000"/>
          <w:sz w:val="28"/>
          <w:szCs w:val="28"/>
        </w:rPr>
        <w:t>.</w:t>
      </w:r>
      <w:r w:rsidRPr="003F1D61">
        <w:rPr>
          <w:rStyle w:val="a4"/>
          <w:rFonts w:ascii="Times New Roman" w:hAnsi="Times New Roman"/>
          <w:color w:val="000000"/>
          <w:sz w:val="28"/>
          <w:szCs w:val="28"/>
        </w:rPr>
        <w:t> </w:t>
      </w:r>
      <w:r w:rsidRPr="003F1D61">
        <w:rPr>
          <w:rFonts w:ascii="Times New Roman" w:hAnsi="Times New Roman"/>
          <w:color w:val="000000"/>
          <w:sz w:val="28"/>
          <w:szCs w:val="28"/>
        </w:rPr>
        <w:t xml:space="preserve">Основанием для подачи заявления о пересмотре кадастровой стоимости </w:t>
      </w:r>
      <w:r>
        <w:rPr>
          <w:rFonts w:ascii="Times New Roman" w:hAnsi="Times New Roman"/>
          <w:color w:val="000000"/>
          <w:sz w:val="28"/>
          <w:szCs w:val="28"/>
        </w:rPr>
        <w:t>являются</w:t>
      </w:r>
      <w:r w:rsidRPr="003F1D61">
        <w:rPr>
          <w:rFonts w:ascii="Times New Roman" w:hAnsi="Times New Roman"/>
          <w:color w:val="000000"/>
          <w:sz w:val="28"/>
          <w:szCs w:val="28"/>
        </w:rPr>
        <w:t xml:space="preserve"> недостоверность сведений о земельном участке, использованных при определении его кадастровой стоимости, а также установление </w:t>
      </w:r>
      <w:r>
        <w:rPr>
          <w:rFonts w:ascii="Times New Roman" w:hAnsi="Times New Roman"/>
          <w:color w:val="000000"/>
          <w:sz w:val="28"/>
          <w:szCs w:val="28"/>
        </w:rPr>
        <w:t xml:space="preserve">в отношении объекта недвижимости его </w:t>
      </w:r>
      <w:r w:rsidRPr="003F1D61">
        <w:rPr>
          <w:rFonts w:ascii="Times New Roman" w:hAnsi="Times New Roman"/>
          <w:color w:val="000000"/>
          <w:sz w:val="28"/>
          <w:szCs w:val="28"/>
        </w:rPr>
        <w:t>рыночной стоимости</w:t>
      </w:r>
      <w:r>
        <w:rPr>
          <w:rFonts w:ascii="Times New Roman" w:hAnsi="Times New Roman"/>
          <w:color w:val="000000"/>
          <w:sz w:val="28"/>
          <w:szCs w:val="28"/>
        </w:rPr>
        <w:t xml:space="preserve"> на дату, по состоянию на которую установлена его кадастровая стоимость</w:t>
      </w:r>
      <w:r w:rsidRPr="003F1D61">
        <w:rPr>
          <w:rFonts w:ascii="Times New Roman" w:hAnsi="Times New Roman"/>
          <w:color w:val="000000"/>
          <w:sz w:val="28"/>
          <w:szCs w:val="28"/>
        </w:rPr>
        <w:t xml:space="preserve">. </w:t>
      </w:r>
    </w:p>
    <w:p w:rsidR="00DB74DA"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w:t>
      </w:r>
      <w:r w:rsidRPr="00846CB9">
        <w:rPr>
          <w:rFonts w:ascii="Times New Roman" w:hAnsi="Times New Roman"/>
          <w:sz w:val="28"/>
          <w:szCs w:val="28"/>
        </w:rPr>
        <w:t>ледует учитывать</w:t>
      </w:r>
      <w:r w:rsidRPr="00EA4636">
        <w:rPr>
          <w:rFonts w:ascii="Times New Roman" w:hAnsi="Times New Roman"/>
          <w:sz w:val="28"/>
          <w:szCs w:val="28"/>
        </w:rPr>
        <w:t>, что при пересмотре кадастровой стоимости в связи с недостоверными сведениями об объекте недвижимости по требованию заявителя может быть установлена рыночная стоимость такого объекта.</w:t>
      </w:r>
    </w:p>
    <w:p w:rsidR="00DB74DA" w:rsidRPr="00AD5093" w:rsidRDefault="00DB74DA" w:rsidP="00DB74DA">
      <w:pPr>
        <w:spacing w:after="0" w:line="240" w:lineRule="auto"/>
        <w:ind w:firstLine="708"/>
        <w:jc w:val="both"/>
        <w:rPr>
          <w:rStyle w:val="a4"/>
          <w:rFonts w:ascii="Times New Roman" w:hAnsi="Times New Roman"/>
          <w:b w:val="0"/>
          <w:bCs w:val="0"/>
          <w:color w:val="000000"/>
          <w:sz w:val="28"/>
          <w:szCs w:val="28"/>
        </w:rPr>
      </w:pPr>
      <w:r w:rsidRPr="003F1D61">
        <w:rPr>
          <w:rFonts w:ascii="Times New Roman" w:hAnsi="Times New Roman"/>
          <w:color w:val="000000"/>
          <w:sz w:val="28"/>
          <w:szCs w:val="28"/>
        </w:rPr>
        <w:t>Результаты определения кадастровой стоимости могут быть оспорены физическими и юридическими лицами, если такие результаты затрагивают права и обязанности этих лиц</w:t>
      </w:r>
      <w:r>
        <w:rPr>
          <w:rFonts w:ascii="Times New Roman" w:hAnsi="Times New Roman"/>
          <w:color w:val="000000"/>
          <w:sz w:val="28"/>
          <w:szCs w:val="28"/>
        </w:rPr>
        <w:t>,</w:t>
      </w:r>
      <w:r w:rsidRPr="003F1D61">
        <w:rPr>
          <w:color w:val="000000"/>
          <w:sz w:val="28"/>
          <w:szCs w:val="28"/>
        </w:rPr>
        <w:t xml:space="preserve"> </w:t>
      </w:r>
      <w:r w:rsidRPr="003F1D61">
        <w:rPr>
          <w:rFonts w:ascii="Times New Roman" w:hAnsi="Times New Roman"/>
          <w:color w:val="000000"/>
          <w:sz w:val="28"/>
          <w:szCs w:val="28"/>
        </w:rPr>
        <w:t>органами госвласти, местного самоуправления в отношении объектов недвижимости, находящихся в государственной или муниципальной собственности</w:t>
      </w:r>
      <w:r>
        <w:rPr>
          <w:rFonts w:ascii="Times New Roman" w:hAnsi="Times New Roman"/>
          <w:color w:val="000000"/>
          <w:sz w:val="28"/>
          <w:szCs w:val="28"/>
        </w:rPr>
        <w:t>, в суде или в Комиссии.</w:t>
      </w:r>
    </w:p>
    <w:p w:rsidR="00DB74DA" w:rsidRPr="007A073B" w:rsidRDefault="00DB74DA" w:rsidP="00DB74DA">
      <w:pPr>
        <w:spacing w:after="0" w:line="240" w:lineRule="auto"/>
        <w:ind w:firstLine="720"/>
        <w:jc w:val="both"/>
        <w:rPr>
          <w:rFonts w:ascii="Times New Roman" w:hAnsi="Times New Roman"/>
          <w:sz w:val="28"/>
          <w:szCs w:val="28"/>
        </w:rPr>
      </w:pPr>
      <w:r w:rsidRPr="007A073B">
        <w:rPr>
          <w:rFonts w:ascii="Times New Roman" w:hAnsi="Times New Roman"/>
          <w:sz w:val="28"/>
          <w:szCs w:val="28"/>
        </w:rPr>
        <w:t xml:space="preserve"> При этом, при оспаривании </w:t>
      </w:r>
      <w:r>
        <w:rPr>
          <w:rFonts w:ascii="Times New Roman" w:hAnsi="Times New Roman"/>
          <w:sz w:val="28"/>
          <w:szCs w:val="28"/>
        </w:rPr>
        <w:t xml:space="preserve">кадастровой стоимости </w:t>
      </w:r>
      <w:r w:rsidRPr="007A073B">
        <w:rPr>
          <w:rFonts w:ascii="Times New Roman" w:hAnsi="Times New Roman"/>
          <w:sz w:val="28"/>
          <w:szCs w:val="28"/>
        </w:rPr>
        <w:t>юридическими лицами о соблюдении досудебного порядка свидетельствует решение Комиссии об отказе в удовлетворении заявления о пересмотре кадастровой стоимости либо документы, подтверждающие факт обращения в Комиссию и нерассмотрения ею заявления в установленный законом срок.</w:t>
      </w:r>
      <w:r>
        <w:rPr>
          <w:rFonts w:ascii="Times New Roman" w:hAnsi="Times New Roman"/>
          <w:sz w:val="28"/>
          <w:szCs w:val="28"/>
        </w:rPr>
        <w:t xml:space="preserve"> Д</w:t>
      </w:r>
      <w:r w:rsidRPr="007A073B">
        <w:rPr>
          <w:rFonts w:ascii="Times New Roman" w:hAnsi="Times New Roman"/>
          <w:sz w:val="28"/>
          <w:szCs w:val="28"/>
        </w:rPr>
        <w:t xml:space="preserve">ля оспаривания физическими лицами результатов определения кадастровой </w:t>
      </w:r>
      <w:r w:rsidRPr="007A073B">
        <w:rPr>
          <w:rFonts w:ascii="Times New Roman" w:hAnsi="Times New Roman"/>
          <w:sz w:val="28"/>
          <w:szCs w:val="28"/>
        </w:rPr>
        <w:lastRenderedPageBreak/>
        <w:t>стоимости в суде предварительное обращение в Комиссию не является обязательным.</w:t>
      </w:r>
    </w:p>
    <w:p w:rsidR="00DB74DA" w:rsidRDefault="00DB74DA" w:rsidP="00DB74DA">
      <w:pPr>
        <w:spacing w:after="0" w:line="240" w:lineRule="auto"/>
        <w:ind w:firstLine="540"/>
        <w:jc w:val="both"/>
        <w:rPr>
          <w:rFonts w:ascii="Times New Roman" w:hAnsi="Times New Roman"/>
          <w:color w:val="000000"/>
          <w:sz w:val="28"/>
          <w:szCs w:val="28"/>
          <w:shd w:val="clear" w:color="auto" w:fill="FFFFFF"/>
        </w:rPr>
      </w:pPr>
      <w:r w:rsidRPr="00485C0E">
        <w:rPr>
          <w:rFonts w:ascii="Times New Roman" w:hAnsi="Times New Roman"/>
          <w:color w:val="000000"/>
          <w:sz w:val="28"/>
          <w:szCs w:val="28"/>
          <w:shd w:val="clear" w:color="auto" w:fill="FFFFFF"/>
        </w:rPr>
        <w:t>В последнее время существенно увеличилось количество споров, связанных с кадастровой оценкой объектов недвижимости, в том числе, и в Комисс</w:t>
      </w:r>
      <w:r>
        <w:rPr>
          <w:rFonts w:ascii="Times New Roman" w:hAnsi="Times New Roman"/>
          <w:color w:val="000000"/>
          <w:sz w:val="28"/>
          <w:szCs w:val="28"/>
          <w:shd w:val="clear" w:color="auto" w:fill="FFFFFF"/>
        </w:rPr>
        <w:t>ии</w:t>
      </w:r>
      <w:r w:rsidRPr="00485C0E">
        <w:rPr>
          <w:rFonts w:ascii="Times New Roman" w:hAnsi="Times New Roman"/>
          <w:color w:val="000000"/>
          <w:sz w:val="28"/>
          <w:szCs w:val="28"/>
          <w:shd w:val="clear" w:color="auto" w:fill="FFFFFF"/>
        </w:rPr>
        <w:t>.</w:t>
      </w:r>
      <w:r>
        <w:rPr>
          <w:rFonts w:ascii="Georgia" w:hAnsi="Georgia"/>
          <w:color w:val="000000"/>
          <w:sz w:val="21"/>
          <w:szCs w:val="21"/>
          <w:shd w:val="clear" w:color="auto" w:fill="FFFFFF"/>
        </w:rPr>
        <w:t xml:space="preserve"> </w:t>
      </w:r>
      <w:r>
        <w:rPr>
          <w:rFonts w:ascii="Times New Roman" w:hAnsi="Times New Roman"/>
          <w:color w:val="000000"/>
          <w:sz w:val="28"/>
          <w:szCs w:val="28"/>
          <w:shd w:val="clear" w:color="auto" w:fill="FFFFFF"/>
        </w:rPr>
        <w:t>Рассматривая данную категорию споров,</w:t>
      </w:r>
      <w:r w:rsidRPr="00A81761">
        <w:rPr>
          <w:rFonts w:ascii="Times New Roman" w:hAnsi="Times New Roman"/>
          <w:color w:val="000000"/>
          <w:sz w:val="28"/>
          <w:szCs w:val="28"/>
          <w:shd w:val="clear" w:color="auto" w:fill="FFFFFF"/>
        </w:rPr>
        <w:t xml:space="preserve"> Комисси</w:t>
      </w:r>
      <w:r>
        <w:rPr>
          <w:rFonts w:ascii="Times New Roman" w:hAnsi="Times New Roman"/>
          <w:color w:val="000000"/>
          <w:sz w:val="28"/>
          <w:szCs w:val="28"/>
          <w:shd w:val="clear" w:color="auto" w:fill="FFFFFF"/>
        </w:rPr>
        <w:t xml:space="preserve">я </w:t>
      </w:r>
      <w:r w:rsidRPr="00A81761">
        <w:rPr>
          <w:rFonts w:ascii="Times New Roman" w:hAnsi="Times New Roman"/>
          <w:color w:val="000000"/>
          <w:sz w:val="28"/>
          <w:szCs w:val="28"/>
          <w:shd w:val="clear" w:color="auto" w:fill="FFFFFF"/>
        </w:rPr>
        <w:t>довольно часто отказыва</w:t>
      </w:r>
      <w:r>
        <w:rPr>
          <w:rFonts w:ascii="Times New Roman" w:hAnsi="Times New Roman"/>
          <w:color w:val="000000"/>
          <w:sz w:val="28"/>
          <w:szCs w:val="28"/>
          <w:shd w:val="clear" w:color="auto" w:fill="FFFFFF"/>
        </w:rPr>
        <w:t>е</w:t>
      </w:r>
      <w:r w:rsidRPr="00A81761">
        <w:rPr>
          <w:rFonts w:ascii="Times New Roman" w:hAnsi="Times New Roman"/>
          <w:color w:val="000000"/>
          <w:sz w:val="28"/>
          <w:szCs w:val="28"/>
          <w:shd w:val="clear" w:color="auto" w:fill="FFFFFF"/>
        </w:rPr>
        <w:t xml:space="preserve">т </w:t>
      </w:r>
      <w:r>
        <w:rPr>
          <w:rFonts w:ascii="Times New Roman" w:hAnsi="Times New Roman"/>
          <w:color w:val="000000"/>
          <w:sz w:val="28"/>
          <w:szCs w:val="28"/>
          <w:shd w:val="clear" w:color="auto" w:fill="FFFFFF"/>
        </w:rPr>
        <w:t xml:space="preserve">заинтересованным лицам </w:t>
      </w:r>
      <w:r w:rsidRPr="00A81761">
        <w:rPr>
          <w:rFonts w:ascii="Times New Roman" w:hAnsi="Times New Roman"/>
          <w:color w:val="000000"/>
          <w:sz w:val="28"/>
          <w:szCs w:val="28"/>
          <w:shd w:val="clear" w:color="auto" w:fill="FFFFFF"/>
        </w:rPr>
        <w:t>в пересмотре кадастровой стоимости объектов недвижимости.</w:t>
      </w:r>
    </w:p>
    <w:p w:rsidR="00DB74DA" w:rsidRDefault="00DB74DA" w:rsidP="00DB74DA">
      <w:pPr>
        <w:spacing w:after="0" w:line="240" w:lineRule="auto"/>
        <w:ind w:firstLine="540"/>
        <w:jc w:val="both"/>
        <w:rPr>
          <w:rFonts w:ascii="Times New Roman" w:hAnsi="Times New Roman"/>
          <w:color w:val="000000"/>
          <w:sz w:val="28"/>
          <w:szCs w:val="28"/>
          <w:shd w:val="clear" w:color="auto" w:fill="FFFFFF"/>
        </w:rPr>
      </w:pPr>
      <w:r w:rsidRPr="00846CB9">
        <w:rPr>
          <w:rFonts w:ascii="Georgia" w:hAnsi="Georgia"/>
          <w:color w:val="000000"/>
          <w:sz w:val="28"/>
          <w:szCs w:val="28"/>
          <w:shd w:val="clear" w:color="auto" w:fill="FFFFFF"/>
        </w:rPr>
        <w:t xml:space="preserve"> </w:t>
      </w:r>
      <w:r w:rsidRPr="00C2141D">
        <w:rPr>
          <w:rFonts w:ascii="Times New Roman" w:hAnsi="Times New Roman"/>
          <w:color w:val="000000"/>
          <w:sz w:val="28"/>
          <w:szCs w:val="28"/>
          <w:shd w:val="clear" w:color="auto" w:fill="FFFFFF"/>
        </w:rPr>
        <w:t>Судебная практика по</w:t>
      </w:r>
      <w:r>
        <w:rPr>
          <w:rFonts w:ascii="Times New Roman" w:hAnsi="Times New Roman"/>
          <w:color w:val="000000"/>
          <w:sz w:val="28"/>
          <w:szCs w:val="28"/>
          <w:shd w:val="clear" w:color="auto" w:fill="FFFFFF"/>
        </w:rPr>
        <w:t xml:space="preserve">казывает, что </w:t>
      </w:r>
      <w:r w:rsidRPr="00846CB9">
        <w:rPr>
          <w:rFonts w:ascii="Georgia" w:hAnsi="Georgia"/>
          <w:color w:val="000000"/>
          <w:sz w:val="28"/>
          <w:szCs w:val="28"/>
          <w:shd w:val="clear" w:color="auto" w:fill="FFFFFF"/>
        </w:rPr>
        <w:t>з</w:t>
      </w:r>
      <w:r w:rsidRPr="00846CB9">
        <w:rPr>
          <w:rFonts w:ascii="Times New Roman" w:hAnsi="Times New Roman"/>
          <w:color w:val="000000"/>
          <w:sz w:val="28"/>
          <w:szCs w:val="28"/>
          <w:shd w:val="clear" w:color="auto" w:fill="FFFFFF"/>
        </w:rPr>
        <w:t xml:space="preserve">аинтересованные лица </w:t>
      </w:r>
      <w:r>
        <w:rPr>
          <w:rFonts w:ascii="Times New Roman" w:hAnsi="Times New Roman"/>
          <w:color w:val="000000"/>
          <w:sz w:val="28"/>
          <w:szCs w:val="28"/>
          <w:shd w:val="clear" w:color="auto" w:fill="FFFFFF"/>
        </w:rPr>
        <w:t xml:space="preserve">зачастую </w:t>
      </w:r>
      <w:r w:rsidRPr="00846CB9">
        <w:rPr>
          <w:rFonts w:ascii="Times New Roman" w:hAnsi="Times New Roman"/>
          <w:color w:val="000000"/>
          <w:sz w:val="28"/>
          <w:szCs w:val="28"/>
          <w:shd w:val="clear" w:color="auto" w:fill="FFFFFF"/>
        </w:rPr>
        <w:t>обращ</w:t>
      </w:r>
      <w:r>
        <w:rPr>
          <w:rFonts w:ascii="Times New Roman" w:hAnsi="Times New Roman"/>
          <w:color w:val="000000"/>
          <w:sz w:val="28"/>
          <w:szCs w:val="28"/>
          <w:shd w:val="clear" w:color="auto" w:fill="FFFFFF"/>
        </w:rPr>
        <w:t xml:space="preserve">аются в судебные органы </w:t>
      </w:r>
      <w:r w:rsidRPr="00846CB9">
        <w:rPr>
          <w:rFonts w:ascii="Times New Roman" w:hAnsi="Times New Roman"/>
          <w:color w:val="000000"/>
          <w:sz w:val="28"/>
          <w:szCs w:val="28"/>
          <w:shd w:val="clear" w:color="auto" w:fill="FFFFFF"/>
        </w:rPr>
        <w:t xml:space="preserve">с требованиями об установлении кадастровой стоимости объекта недвижимости в размере рыночной и одновременно </w:t>
      </w:r>
      <w:r>
        <w:rPr>
          <w:rFonts w:ascii="Times New Roman" w:hAnsi="Times New Roman"/>
          <w:color w:val="000000"/>
          <w:sz w:val="28"/>
          <w:szCs w:val="28"/>
          <w:shd w:val="clear" w:color="auto" w:fill="FFFFFF"/>
        </w:rPr>
        <w:t xml:space="preserve">с требованиями </w:t>
      </w:r>
      <w:r w:rsidRPr="00846CB9">
        <w:rPr>
          <w:rFonts w:ascii="Times New Roman" w:hAnsi="Times New Roman"/>
          <w:color w:val="000000"/>
          <w:sz w:val="28"/>
          <w:szCs w:val="28"/>
          <w:shd w:val="clear" w:color="auto" w:fill="FFFFFF"/>
        </w:rPr>
        <w:t>о признании незаконным</w:t>
      </w:r>
      <w:r>
        <w:rPr>
          <w:rFonts w:ascii="Times New Roman" w:hAnsi="Times New Roman"/>
          <w:color w:val="000000"/>
          <w:sz w:val="28"/>
          <w:szCs w:val="28"/>
          <w:shd w:val="clear" w:color="auto" w:fill="FFFFFF"/>
        </w:rPr>
        <w:t>и</w:t>
      </w:r>
      <w:r w:rsidRPr="00846CB9">
        <w:rPr>
          <w:rFonts w:ascii="Times New Roman" w:hAnsi="Times New Roman"/>
          <w:color w:val="000000"/>
          <w:sz w:val="28"/>
          <w:szCs w:val="28"/>
          <w:shd w:val="clear" w:color="auto" w:fill="FFFFFF"/>
        </w:rPr>
        <w:t xml:space="preserve"> решени</w:t>
      </w:r>
      <w:r>
        <w:rPr>
          <w:rFonts w:ascii="Times New Roman" w:hAnsi="Times New Roman"/>
          <w:color w:val="000000"/>
          <w:sz w:val="28"/>
          <w:szCs w:val="28"/>
          <w:shd w:val="clear" w:color="auto" w:fill="FFFFFF"/>
        </w:rPr>
        <w:t>й</w:t>
      </w:r>
      <w:r w:rsidRPr="00846CB9">
        <w:rPr>
          <w:rFonts w:ascii="Times New Roman" w:hAnsi="Times New Roman"/>
          <w:color w:val="000000"/>
          <w:sz w:val="28"/>
          <w:szCs w:val="28"/>
          <w:shd w:val="clear" w:color="auto" w:fill="FFFFFF"/>
        </w:rPr>
        <w:t xml:space="preserve"> Комиссии. </w:t>
      </w:r>
    </w:p>
    <w:p w:rsidR="00DB74DA" w:rsidRPr="007807D2" w:rsidRDefault="00DB74DA" w:rsidP="00DB74DA">
      <w:pPr>
        <w:spacing w:after="0" w:line="240" w:lineRule="auto"/>
        <w:ind w:firstLine="540"/>
        <w:jc w:val="both"/>
        <w:rPr>
          <w:rFonts w:ascii="Times New Roman" w:hAnsi="Times New Roman"/>
          <w:i/>
          <w:sz w:val="28"/>
          <w:szCs w:val="28"/>
        </w:rPr>
      </w:pPr>
      <w:r w:rsidRPr="00846CB9">
        <w:rPr>
          <w:rFonts w:ascii="Times New Roman" w:hAnsi="Times New Roman"/>
          <w:color w:val="000000"/>
          <w:sz w:val="28"/>
          <w:szCs w:val="28"/>
          <w:shd w:val="clear" w:color="auto" w:fill="FFFFFF"/>
        </w:rPr>
        <w:t xml:space="preserve">Данные требования носят взаимоисключающий характер, поскольку </w:t>
      </w:r>
      <w:r w:rsidRPr="00846CB9">
        <w:rPr>
          <w:rFonts w:ascii="Times New Roman" w:hAnsi="Times New Roman"/>
          <w:sz w:val="28"/>
          <w:szCs w:val="28"/>
        </w:rPr>
        <w:t>требовани</w:t>
      </w:r>
      <w:r>
        <w:rPr>
          <w:rFonts w:ascii="Times New Roman" w:hAnsi="Times New Roman"/>
          <w:sz w:val="28"/>
          <w:szCs w:val="28"/>
        </w:rPr>
        <w:t>е</w:t>
      </w:r>
      <w:r w:rsidRPr="00846CB9">
        <w:rPr>
          <w:rFonts w:ascii="Times New Roman" w:hAnsi="Times New Roman"/>
          <w:sz w:val="28"/>
          <w:szCs w:val="28"/>
        </w:rPr>
        <w:t xml:space="preserve"> о</w:t>
      </w:r>
      <w:r>
        <w:rPr>
          <w:rFonts w:ascii="Times New Roman" w:hAnsi="Times New Roman"/>
          <w:sz w:val="28"/>
          <w:szCs w:val="28"/>
        </w:rPr>
        <w:t xml:space="preserve">б обжаловании решений Комиссии </w:t>
      </w:r>
      <w:r w:rsidRPr="00846CB9">
        <w:rPr>
          <w:rFonts w:ascii="Times New Roman" w:hAnsi="Times New Roman"/>
          <w:sz w:val="28"/>
          <w:szCs w:val="28"/>
        </w:rPr>
        <w:t xml:space="preserve"> не может быть рассмотрено совместно с требованием об оспаривании результатов опр</w:t>
      </w:r>
      <w:r>
        <w:rPr>
          <w:rFonts w:ascii="Times New Roman" w:hAnsi="Times New Roman"/>
          <w:sz w:val="28"/>
          <w:szCs w:val="28"/>
        </w:rPr>
        <w:t xml:space="preserve">еделения кадастровой стоимости </w:t>
      </w:r>
      <w:r w:rsidRPr="007807D2">
        <w:rPr>
          <w:rFonts w:ascii="Times New Roman" w:hAnsi="Times New Roman"/>
          <w:i/>
          <w:sz w:val="28"/>
          <w:szCs w:val="28"/>
        </w:rPr>
        <w:t>(п. 5 Постановлени</w:t>
      </w:r>
      <w:r>
        <w:rPr>
          <w:rFonts w:ascii="Times New Roman" w:hAnsi="Times New Roman"/>
          <w:i/>
          <w:sz w:val="28"/>
          <w:szCs w:val="28"/>
        </w:rPr>
        <w:t>я</w:t>
      </w:r>
      <w:r w:rsidRPr="007807D2">
        <w:rPr>
          <w:rFonts w:ascii="Times New Roman" w:hAnsi="Times New Roman"/>
          <w:i/>
          <w:sz w:val="28"/>
          <w:szCs w:val="28"/>
        </w:rPr>
        <w:t xml:space="preserve"> Пленума Верховного суда РФ от 30.06.2015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p>
    <w:p w:rsidR="00DB74DA" w:rsidRDefault="00DB74DA" w:rsidP="00DB74DA">
      <w:pPr>
        <w:spacing w:after="0" w:line="240" w:lineRule="auto"/>
        <w:ind w:firstLine="540"/>
        <w:jc w:val="both"/>
        <w:rPr>
          <w:rFonts w:ascii="Times New Roman" w:hAnsi="Times New Roman"/>
          <w:bCs/>
          <w:color w:val="000000"/>
          <w:sz w:val="28"/>
          <w:szCs w:val="28"/>
        </w:rPr>
      </w:pPr>
      <w:r w:rsidRPr="00846CB9">
        <w:rPr>
          <w:rFonts w:ascii="Times New Roman" w:hAnsi="Times New Roman"/>
          <w:sz w:val="28"/>
          <w:szCs w:val="28"/>
        </w:rPr>
        <w:t xml:space="preserve"> </w:t>
      </w:r>
      <w:r w:rsidRPr="003F1D61">
        <w:rPr>
          <w:rStyle w:val="a4"/>
          <w:rFonts w:ascii="Times New Roman" w:hAnsi="Times New Roman"/>
          <w:b w:val="0"/>
          <w:color w:val="000000"/>
          <w:sz w:val="28"/>
          <w:szCs w:val="28"/>
        </w:rPr>
        <w:t xml:space="preserve">Вместе </w:t>
      </w:r>
      <w:r>
        <w:rPr>
          <w:rStyle w:val="a4"/>
          <w:rFonts w:ascii="Times New Roman" w:hAnsi="Times New Roman"/>
          <w:b w:val="0"/>
          <w:color w:val="000000"/>
          <w:sz w:val="28"/>
          <w:szCs w:val="28"/>
        </w:rPr>
        <w:t xml:space="preserve">с тем, законодательством </w:t>
      </w:r>
      <w:r w:rsidRPr="003F1D61">
        <w:rPr>
          <w:rStyle w:val="a4"/>
          <w:rFonts w:ascii="Times New Roman" w:hAnsi="Times New Roman"/>
          <w:b w:val="0"/>
          <w:color w:val="000000"/>
          <w:sz w:val="28"/>
          <w:szCs w:val="28"/>
        </w:rPr>
        <w:t>предусм</w:t>
      </w:r>
      <w:r>
        <w:rPr>
          <w:rStyle w:val="a4"/>
          <w:rFonts w:ascii="Times New Roman" w:hAnsi="Times New Roman"/>
          <w:b w:val="0"/>
          <w:color w:val="000000"/>
          <w:sz w:val="28"/>
          <w:szCs w:val="28"/>
        </w:rPr>
        <w:t>о</w:t>
      </w:r>
      <w:r w:rsidRPr="003F1D61">
        <w:rPr>
          <w:rStyle w:val="a4"/>
          <w:rFonts w:ascii="Times New Roman" w:hAnsi="Times New Roman"/>
          <w:b w:val="0"/>
          <w:color w:val="000000"/>
          <w:sz w:val="28"/>
          <w:szCs w:val="28"/>
        </w:rPr>
        <w:t>тр</w:t>
      </w:r>
      <w:r>
        <w:rPr>
          <w:rStyle w:val="a4"/>
          <w:rFonts w:ascii="Times New Roman" w:hAnsi="Times New Roman"/>
          <w:b w:val="0"/>
          <w:color w:val="000000"/>
          <w:sz w:val="28"/>
          <w:szCs w:val="28"/>
        </w:rPr>
        <w:t>ена</w:t>
      </w:r>
      <w:r w:rsidRPr="003F1D61">
        <w:rPr>
          <w:rStyle w:val="a4"/>
          <w:rFonts w:ascii="Times New Roman" w:hAnsi="Times New Roman"/>
          <w:b w:val="0"/>
          <w:color w:val="000000"/>
          <w:sz w:val="28"/>
          <w:szCs w:val="28"/>
        </w:rPr>
        <w:t xml:space="preserve"> возможность оспаривания о</w:t>
      </w:r>
      <w:r>
        <w:rPr>
          <w:rStyle w:val="a4"/>
          <w:rFonts w:ascii="Times New Roman" w:hAnsi="Times New Roman"/>
          <w:b w:val="0"/>
          <w:color w:val="000000"/>
          <w:sz w:val="28"/>
          <w:szCs w:val="28"/>
        </w:rPr>
        <w:t>р</w:t>
      </w:r>
      <w:r w:rsidRPr="003F1D61">
        <w:rPr>
          <w:rFonts w:ascii="Times New Roman" w:hAnsi="Times New Roman"/>
          <w:bCs/>
          <w:color w:val="000000"/>
          <w:sz w:val="28"/>
          <w:szCs w:val="28"/>
        </w:rPr>
        <w:t>ганами местного самоуправления решений или действий (бездействий) Комиссии в отношении объектов недвижимости, находящ</w:t>
      </w:r>
      <w:r>
        <w:rPr>
          <w:rFonts w:ascii="Times New Roman" w:hAnsi="Times New Roman"/>
          <w:bCs/>
          <w:color w:val="000000"/>
          <w:sz w:val="28"/>
          <w:szCs w:val="28"/>
        </w:rPr>
        <w:t>ихся в собственности иных лиц, расположенных на территории субъекта РФ или муниципального образования.</w:t>
      </w:r>
    </w:p>
    <w:p w:rsidR="00DB74DA" w:rsidRPr="00E71B41" w:rsidRDefault="00DB74DA" w:rsidP="00DB74DA">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При установлении круга лиц, имеющих право участвовать в рассмотрении вопроса об изменении кадастровой стоимости объектов недвижимости, законодательно учтены, в том числе интересы органов местного самоуправления, поскольку кадастровая стоимость представляет собой не объективно существующую безусловную величину, установленную в качестве действительной цены, а их предполагаемую (условную) стоимость, установленную в ходе корректного исполнения законных процедур государственной кадастровой оценки </w:t>
      </w:r>
      <w:r w:rsidRPr="00E71B41">
        <w:rPr>
          <w:rFonts w:ascii="Times New Roman" w:hAnsi="Times New Roman"/>
          <w:i/>
          <w:sz w:val="28"/>
          <w:szCs w:val="28"/>
        </w:rPr>
        <w:t>(Постановление Конституционного Суда РФ от 05.07.2016 №15-П)</w:t>
      </w:r>
      <w:r>
        <w:rPr>
          <w:rFonts w:ascii="Times New Roman" w:hAnsi="Times New Roman"/>
          <w:i/>
          <w:sz w:val="28"/>
          <w:szCs w:val="28"/>
        </w:rPr>
        <w:t>.</w:t>
      </w:r>
    </w:p>
    <w:p w:rsidR="00DB74DA"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t>Конституционным Судом РФ было отмечено, что в случае снижения кадастровой стоимости земельного участка на основании установления его рыночной стоимости у муниципального образования, на территории которого он расположен, может иметься реальный законный интерес, предполагающий возможность органов местного самоуправления самостоятельно оспаривать соответствующее решение Комиссии, принятое по инициативе собственника этого земельного участка, поскольку могут быть затронуты права и законные интересы муниципального образования, в том числе связанные с поступлениями налоговых доходов в местный бюджет.</w:t>
      </w:r>
    </w:p>
    <w:p w:rsidR="00DB74DA" w:rsidRPr="00350AB0" w:rsidRDefault="00DB74DA" w:rsidP="00DB74DA">
      <w:pPr>
        <w:spacing w:after="0" w:line="240" w:lineRule="auto"/>
        <w:ind w:firstLine="567"/>
        <w:jc w:val="both"/>
        <w:rPr>
          <w:rFonts w:ascii="Times New Roman" w:hAnsi="Times New Roman"/>
          <w:sz w:val="28"/>
          <w:szCs w:val="28"/>
        </w:rPr>
      </w:pPr>
      <w:r w:rsidRPr="00350AB0">
        <w:rPr>
          <w:rFonts w:ascii="Times New Roman" w:hAnsi="Times New Roman"/>
          <w:sz w:val="28"/>
          <w:szCs w:val="28"/>
        </w:rPr>
        <w:t>По делам об оспаривании решений, действий (бездействия) Комиссии заинтересованными лицами (административными ответчиками) являются Комиссия и государственный орган, осуществляющий функции по государственной кадастровой оценке, при котором она создана.</w:t>
      </w:r>
    </w:p>
    <w:p w:rsidR="00DB74DA" w:rsidRDefault="00DB74DA" w:rsidP="00DB74DA">
      <w:pPr>
        <w:spacing w:after="0" w:line="240" w:lineRule="auto"/>
        <w:ind w:firstLine="567"/>
        <w:jc w:val="both"/>
        <w:rPr>
          <w:rFonts w:ascii="Times New Roman" w:hAnsi="Times New Roman"/>
          <w:sz w:val="28"/>
          <w:szCs w:val="28"/>
        </w:rPr>
      </w:pPr>
      <w:r w:rsidRPr="00432E29">
        <w:rPr>
          <w:rFonts w:ascii="Times New Roman" w:hAnsi="Times New Roman"/>
          <w:bCs/>
          <w:sz w:val="28"/>
          <w:szCs w:val="28"/>
        </w:rPr>
        <w:lastRenderedPageBreak/>
        <w:t xml:space="preserve">По итогам </w:t>
      </w:r>
      <w:r>
        <w:rPr>
          <w:rFonts w:ascii="Times New Roman" w:hAnsi="Times New Roman"/>
          <w:bCs/>
          <w:sz w:val="28"/>
          <w:szCs w:val="28"/>
        </w:rPr>
        <w:t xml:space="preserve">работы </w:t>
      </w:r>
      <w:r w:rsidRPr="00432E29">
        <w:rPr>
          <w:rFonts w:ascii="Times New Roman" w:hAnsi="Times New Roman"/>
          <w:bCs/>
          <w:sz w:val="28"/>
          <w:szCs w:val="28"/>
        </w:rPr>
        <w:t>за 9 месяцев 2018 года</w:t>
      </w:r>
      <w:r>
        <w:rPr>
          <w:rFonts w:ascii="Times New Roman" w:hAnsi="Times New Roman"/>
          <w:bCs/>
          <w:sz w:val="28"/>
          <w:szCs w:val="28"/>
        </w:rPr>
        <w:t xml:space="preserve"> </w:t>
      </w:r>
      <w:r w:rsidRPr="00EB6901">
        <w:rPr>
          <w:rFonts w:ascii="Times New Roman" w:hAnsi="Times New Roman"/>
          <w:sz w:val="28"/>
          <w:szCs w:val="28"/>
        </w:rPr>
        <w:t xml:space="preserve">судебными органами </w:t>
      </w:r>
      <w:r>
        <w:rPr>
          <w:rFonts w:ascii="Times New Roman" w:hAnsi="Times New Roman"/>
          <w:sz w:val="28"/>
          <w:szCs w:val="28"/>
        </w:rPr>
        <w:t>вынесено 54 решения в пользу Комиссии и Управления при рассмотрении административных исков</w:t>
      </w:r>
      <w:r w:rsidRPr="00553094">
        <w:rPr>
          <w:rFonts w:ascii="Times New Roman" w:hAnsi="Times New Roman"/>
          <w:sz w:val="28"/>
          <w:szCs w:val="28"/>
        </w:rPr>
        <w:t xml:space="preserve"> </w:t>
      </w:r>
      <w:r>
        <w:rPr>
          <w:rFonts w:ascii="Times New Roman" w:hAnsi="Times New Roman"/>
          <w:sz w:val="28"/>
          <w:szCs w:val="28"/>
        </w:rPr>
        <w:t>органов местного самоуправления по вопросам:</w:t>
      </w:r>
    </w:p>
    <w:p w:rsidR="00DB74DA" w:rsidRDefault="00DB74DA" w:rsidP="00DB74D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53094">
        <w:rPr>
          <w:rFonts w:ascii="Times New Roman" w:hAnsi="Times New Roman"/>
          <w:sz w:val="28"/>
          <w:szCs w:val="28"/>
        </w:rPr>
        <w:t xml:space="preserve"> об оспаривании решений Комиссии,</w:t>
      </w:r>
      <w:r>
        <w:rPr>
          <w:rFonts w:ascii="Times New Roman" w:hAnsi="Times New Roman"/>
          <w:sz w:val="28"/>
          <w:szCs w:val="28"/>
        </w:rPr>
        <w:t xml:space="preserve"> </w:t>
      </w:r>
      <w:r w:rsidRPr="00553094">
        <w:rPr>
          <w:rFonts w:ascii="Times New Roman" w:hAnsi="Times New Roman"/>
          <w:sz w:val="28"/>
          <w:szCs w:val="28"/>
        </w:rPr>
        <w:t>принятых в отношении кадастровой стоимости земельных участков в размере рыночной, установленной в отчетах об оценке</w:t>
      </w:r>
      <w:r>
        <w:rPr>
          <w:rFonts w:ascii="Times New Roman" w:hAnsi="Times New Roman"/>
          <w:sz w:val="28"/>
          <w:szCs w:val="28"/>
        </w:rPr>
        <w:t>;</w:t>
      </w:r>
    </w:p>
    <w:p w:rsidR="00DB74DA" w:rsidRDefault="00DB74DA" w:rsidP="00DB74D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 </w:t>
      </w:r>
      <w:r w:rsidRPr="00553094">
        <w:rPr>
          <w:rFonts w:ascii="Times New Roman" w:hAnsi="Times New Roman"/>
          <w:sz w:val="28"/>
          <w:szCs w:val="28"/>
        </w:rPr>
        <w:t>оспаривании решений Комиссии, принятых по результатам рассмотрения заявлений о пересмотре кадастровой стоимости земельных участков в связи с недостоверностью сведений о виде разрешенного использования земельн</w:t>
      </w:r>
      <w:r>
        <w:rPr>
          <w:rFonts w:ascii="Times New Roman" w:hAnsi="Times New Roman"/>
          <w:sz w:val="28"/>
          <w:szCs w:val="28"/>
        </w:rPr>
        <w:t>ых</w:t>
      </w:r>
      <w:r w:rsidRPr="00553094">
        <w:rPr>
          <w:rFonts w:ascii="Times New Roman" w:hAnsi="Times New Roman"/>
          <w:sz w:val="28"/>
          <w:szCs w:val="28"/>
        </w:rPr>
        <w:t xml:space="preserve"> участк</w:t>
      </w:r>
      <w:r>
        <w:rPr>
          <w:rFonts w:ascii="Times New Roman" w:hAnsi="Times New Roman"/>
          <w:sz w:val="28"/>
          <w:szCs w:val="28"/>
        </w:rPr>
        <w:t>ов</w:t>
      </w:r>
      <w:r w:rsidRPr="00D97008">
        <w:rPr>
          <w:rFonts w:ascii="Times New Roman" w:hAnsi="Times New Roman"/>
          <w:sz w:val="28"/>
          <w:szCs w:val="28"/>
        </w:rPr>
        <w:t>.</w:t>
      </w:r>
    </w:p>
    <w:p w:rsidR="00DB74DA" w:rsidRPr="00412501" w:rsidRDefault="00DB74DA" w:rsidP="00DB74DA">
      <w:pPr>
        <w:spacing w:after="0" w:line="240" w:lineRule="auto"/>
        <w:ind w:firstLine="567"/>
        <w:jc w:val="both"/>
        <w:rPr>
          <w:rFonts w:ascii="Times New Roman" w:hAnsi="Times New Roman"/>
          <w:sz w:val="28"/>
          <w:szCs w:val="28"/>
        </w:rPr>
      </w:pPr>
      <w:r w:rsidRPr="00412501">
        <w:rPr>
          <w:rFonts w:ascii="Times New Roman" w:hAnsi="Times New Roman"/>
          <w:sz w:val="28"/>
          <w:szCs w:val="28"/>
        </w:rPr>
        <w:t>В 8 случаях</w:t>
      </w:r>
      <w:r>
        <w:rPr>
          <w:rFonts w:ascii="Times New Roman" w:hAnsi="Times New Roman"/>
          <w:sz w:val="28"/>
          <w:szCs w:val="28"/>
        </w:rPr>
        <w:t xml:space="preserve"> (</w:t>
      </w:r>
      <w:r w:rsidRPr="00412501">
        <w:rPr>
          <w:rFonts w:ascii="Times New Roman" w:hAnsi="Times New Roman"/>
          <w:sz w:val="28"/>
          <w:szCs w:val="28"/>
        </w:rPr>
        <w:t>что составляет 5% от общего количества обжалуемых решений Комиссии</w:t>
      </w:r>
      <w:r>
        <w:rPr>
          <w:rFonts w:ascii="Times New Roman" w:hAnsi="Times New Roman"/>
          <w:sz w:val="28"/>
          <w:szCs w:val="28"/>
        </w:rPr>
        <w:t>)</w:t>
      </w:r>
      <w:r w:rsidRPr="00412501">
        <w:rPr>
          <w:rFonts w:ascii="Times New Roman" w:hAnsi="Times New Roman"/>
          <w:sz w:val="28"/>
          <w:szCs w:val="28"/>
        </w:rPr>
        <w:t>, оспариваемые судебные акты вынесены не в пользу Комиссии и Управления.</w:t>
      </w:r>
    </w:p>
    <w:p w:rsidR="00DB74DA" w:rsidRDefault="00DB74DA" w:rsidP="00DB74DA">
      <w:pPr>
        <w:spacing w:after="0" w:line="240" w:lineRule="auto"/>
        <w:ind w:firstLine="540"/>
        <w:jc w:val="both"/>
        <w:rPr>
          <w:rFonts w:ascii="Times New Roman" w:hAnsi="Times New Roman"/>
          <w:sz w:val="28"/>
          <w:szCs w:val="28"/>
        </w:rPr>
      </w:pPr>
      <w:r w:rsidRPr="00C87824">
        <w:rPr>
          <w:rFonts w:ascii="Times New Roman" w:hAnsi="Times New Roman"/>
          <w:sz w:val="28"/>
          <w:szCs w:val="28"/>
        </w:rPr>
        <w:t xml:space="preserve">В ходе рассмотрения судебных дел по оспариванию решений Комиссии, принятых в отношении кадастровой стоимости земельных участков в размере рыночной, судебными органами  назначается судебная экспертиза на предмет соответствия отчетов об оценке рыночной стоимости земельных участков требованиям Закона об оценочной деятельности, федеральных стандартов оценки. </w:t>
      </w:r>
      <w:r w:rsidRPr="00455DF3">
        <w:rPr>
          <w:rFonts w:ascii="Times New Roman" w:hAnsi="Times New Roman"/>
          <w:sz w:val="28"/>
          <w:szCs w:val="28"/>
        </w:rPr>
        <w:t xml:space="preserve">Перед экспертом </w:t>
      </w:r>
      <w:r>
        <w:rPr>
          <w:rFonts w:ascii="Times New Roman" w:hAnsi="Times New Roman"/>
          <w:sz w:val="28"/>
          <w:szCs w:val="28"/>
        </w:rPr>
        <w:t xml:space="preserve">ставится </w:t>
      </w:r>
      <w:r w:rsidRPr="00455DF3">
        <w:rPr>
          <w:rFonts w:ascii="Times New Roman" w:hAnsi="Times New Roman"/>
          <w:sz w:val="28"/>
          <w:szCs w:val="28"/>
        </w:rPr>
        <w:t>вопрос об установлении рыночной стоимости, а также о том, допущено ли оценщиком нарушение требований федеральных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 на стоимость объекта недвижимости, допускались ли ошибки при выполнении математических действий, является ли информация, использованная оценщиком, достоверной, достаточной, проверяемой.</w:t>
      </w:r>
      <w:r>
        <w:rPr>
          <w:rFonts w:ascii="Times New Roman" w:hAnsi="Times New Roman"/>
          <w:sz w:val="28"/>
          <w:szCs w:val="28"/>
        </w:rPr>
        <w:t xml:space="preserve"> Результаты проведенной судебной экспертизы служат основанием для вынесения решений судов.</w:t>
      </w:r>
    </w:p>
    <w:p w:rsidR="00DB74DA" w:rsidRPr="00D4112F" w:rsidRDefault="00DB74DA" w:rsidP="00DB74DA">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Так, по </w:t>
      </w:r>
      <w:r w:rsidRPr="00A30BB8">
        <w:rPr>
          <w:rFonts w:ascii="Times New Roman" w:hAnsi="Times New Roman"/>
          <w:sz w:val="28"/>
          <w:szCs w:val="28"/>
        </w:rPr>
        <w:t>административны</w:t>
      </w:r>
      <w:r>
        <w:rPr>
          <w:rFonts w:ascii="Times New Roman" w:hAnsi="Times New Roman"/>
          <w:sz w:val="28"/>
          <w:szCs w:val="28"/>
        </w:rPr>
        <w:t>м</w:t>
      </w:r>
      <w:r w:rsidRPr="00A30BB8">
        <w:rPr>
          <w:rFonts w:ascii="Times New Roman" w:hAnsi="Times New Roman"/>
          <w:sz w:val="28"/>
          <w:szCs w:val="28"/>
        </w:rPr>
        <w:t xml:space="preserve"> иска</w:t>
      </w:r>
      <w:r>
        <w:rPr>
          <w:rFonts w:ascii="Times New Roman" w:hAnsi="Times New Roman"/>
          <w:sz w:val="28"/>
          <w:szCs w:val="28"/>
        </w:rPr>
        <w:t>м</w:t>
      </w:r>
      <w:r w:rsidRPr="00A30BB8">
        <w:rPr>
          <w:rFonts w:ascii="Times New Roman" w:hAnsi="Times New Roman"/>
          <w:sz w:val="28"/>
          <w:szCs w:val="28"/>
        </w:rPr>
        <w:t xml:space="preserve"> Администрации Волгограда об оспаривании решений Комиссии, принятых в отношении кадастровой стоимости земельных участков в размере рыночной</w:t>
      </w:r>
      <w:r>
        <w:rPr>
          <w:rFonts w:ascii="Times New Roman" w:hAnsi="Times New Roman"/>
          <w:sz w:val="28"/>
          <w:szCs w:val="28"/>
        </w:rPr>
        <w:t xml:space="preserve">, судом назначена экспертиза на </w:t>
      </w:r>
      <w:r w:rsidRPr="00C87824">
        <w:rPr>
          <w:rFonts w:ascii="Times New Roman" w:hAnsi="Times New Roman"/>
          <w:sz w:val="28"/>
          <w:szCs w:val="28"/>
        </w:rPr>
        <w:t>соответстви</w:t>
      </w:r>
      <w:r>
        <w:rPr>
          <w:rFonts w:ascii="Times New Roman" w:hAnsi="Times New Roman"/>
          <w:sz w:val="28"/>
          <w:szCs w:val="28"/>
        </w:rPr>
        <w:t>е отчетов об оценке рыночной стоимости, представленных в Комиссию,</w:t>
      </w:r>
      <w:r w:rsidRPr="00C87824">
        <w:rPr>
          <w:rFonts w:ascii="Times New Roman" w:hAnsi="Times New Roman"/>
          <w:sz w:val="28"/>
          <w:szCs w:val="28"/>
        </w:rPr>
        <w:t xml:space="preserve"> требованиям</w:t>
      </w:r>
      <w:r>
        <w:rPr>
          <w:rFonts w:ascii="Times New Roman" w:hAnsi="Times New Roman"/>
          <w:sz w:val="28"/>
          <w:szCs w:val="28"/>
        </w:rPr>
        <w:t xml:space="preserve"> действующего</w:t>
      </w:r>
      <w:r w:rsidRPr="00C87824">
        <w:rPr>
          <w:rFonts w:ascii="Times New Roman" w:hAnsi="Times New Roman"/>
          <w:sz w:val="28"/>
          <w:szCs w:val="28"/>
        </w:rPr>
        <w:t xml:space="preserve"> </w:t>
      </w:r>
      <w:r>
        <w:rPr>
          <w:rFonts w:ascii="Times New Roman" w:hAnsi="Times New Roman"/>
          <w:sz w:val="28"/>
          <w:szCs w:val="28"/>
        </w:rPr>
        <w:t>законодательства</w:t>
      </w:r>
      <w:r w:rsidRPr="00C87824">
        <w:rPr>
          <w:rFonts w:ascii="Times New Roman" w:hAnsi="Times New Roman"/>
          <w:sz w:val="28"/>
          <w:szCs w:val="28"/>
        </w:rPr>
        <w:t>.</w:t>
      </w:r>
      <w:r>
        <w:rPr>
          <w:rFonts w:ascii="Times New Roman" w:hAnsi="Times New Roman"/>
          <w:sz w:val="28"/>
          <w:szCs w:val="28"/>
        </w:rPr>
        <w:t xml:space="preserve"> Проведенная судебная экспертиза показала соответствие отчетов об оценке нормам законодательства в сфере оценочной деятельности, решениями Волгоградского областного суда Администрации Волгограда отказано в удовлетворении заявленных требований </w:t>
      </w:r>
      <w:r w:rsidRPr="00D4112F">
        <w:rPr>
          <w:rFonts w:ascii="Times New Roman" w:hAnsi="Times New Roman"/>
          <w:i/>
          <w:sz w:val="28"/>
          <w:szCs w:val="28"/>
        </w:rPr>
        <w:t>(например, судебные дела: № 3а-339/2018, 3а-252/2018, 3а-261/2018, 3а-262/2018, 3а-264/2018, 3а-287/2018, 3а-720/2017).</w:t>
      </w:r>
    </w:p>
    <w:p w:rsidR="00DB74DA"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t xml:space="preserve">Анализируя судебную практику по данному виду споров можно сделать вывод о достаточно высоком проценте (85,7%) решений судов, вступивших в законную силу, которыми решения Комиссии признаны законными и обоснованными. </w:t>
      </w:r>
    </w:p>
    <w:p w:rsidR="00DB74DA"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Вместе с тем, судебная практика свидетельствует, что в случаях выявления</w:t>
      </w:r>
      <w:r w:rsidRPr="002E0500">
        <w:rPr>
          <w:rFonts w:ascii="Times New Roman" w:hAnsi="Times New Roman"/>
          <w:sz w:val="28"/>
          <w:szCs w:val="28"/>
        </w:rPr>
        <w:t xml:space="preserve"> судебн</w:t>
      </w:r>
      <w:r>
        <w:rPr>
          <w:rFonts w:ascii="Times New Roman" w:hAnsi="Times New Roman"/>
          <w:sz w:val="28"/>
          <w:szCs w:val="28"/>
        </w:rPr>
        <w:t>ым</w:t>
      </w:r>
      <w:r w:rsidRPr="002E0500">
        <w:rPr>
          <w:rFonts w:ascii="Times New Roman" w:hAnsi="Times New Roman"/>
          <w:sz w:val="28"/>
          <w:szCs w:val="28"/>
        </w:rPr>
        <w:t xml:space="preserve"> экспер</w:t>
      </w:r>
      <w:r>
        <w:rPr>
          <w:rFonts w:ascii="Times New Roman" w:hAnsi="Times New Roman"/>
          <w:sz w:val="28"/>
          <w:szCs w:val="28"/>
        </w:rPr>
        <w:t xml:space="preserve">том нарушений </w:t>
      </w:r>
      <w:r w:rsidRPr="002E0500">
        <w:rPr>
          <w:rFonts w:ascii="Times New Roman" w:hAnsi="Times New Roman"/>
          <w:sz w:val="28"/>
          <w:szCs w:val="28"/>
        </w:rPr>
        <w:t>требовани</w:t>
      </w:r>
      <w:r>
        <w:rPr>
          <w:rFonts w:ascii="Times New Roman" w:hAnsi="Times New Roman"/>
          <w:sz w:val="28"/>
          <w:szCs w:val="28"/>
        </w:rPr>
        <w:t>й</w:t>
      </w:r>
      <w:r w:rsidRPr="002E0500">
        <w:rPr>
          <w:rFonts w:ascii="Times New Roman" w:hAnsi="Times New Roman"/>
          <w:sz w:val="28"/>
          <w:szCs w:val="28"/>
        </w:rPr>
        <w:t xml:space="preserve"> Закона об оценочной деятельности и федеральн</w:t>
      </w:r>
      <w:r>
        <w:rPr>
          <w:rFonts w:ascii="Times New Roman" w:hAnsi="Times New Roman"/>
          <w:sz w:val="28"/>
          <w:szCs w:val="28"/>
        </w:rPr>
        <w:t xml:space="preserve">ых </w:t>
      </w:r>
      <w:r w:rsidRPr="002E0500">
        <w:rPr>
          <w:rFonts w:ascii="Times New Roman" w:hAnsi="Times New Roman"/>
          <w:sz w:val="28"/>
          <w:szCs w:val="28"/>
        </w:rPr>
        <w:t>стандарт</w:t>
      </w:r>
      <w:r>
        <w:rPr>
          <w:rFonts w:ascii="Times New Roman" w:hAnsi="Times New Roman"/>
          <w:sz w:val="28"/>
          <w:szCs w:val="28"/>
        </w:rPr>
        <w:t xml:space="preserve">ов </w:t>
      </w:r>
      <w:r w:rsidRPr="002E0500">
        <w:rPr>
          <w:rFonts w:ascii="Times New Roman" w:hAnsi="Times New Roman"/>
          <w:sz w:val="28"/>
          <w:szCs w:val="28"/>
        </w:rPr>
        <w:t>оценки</w:t>
      </w:r>
      <w:r>
        <w:rPr>
          <w:rFonts w:ascii="Times New Roman" w:hAnsi="Times New Roman"/>
          <w:sz w:val="28"/>
          <w:szCs w:val="28"/>
        </w:rPr>
        <w:t xml:space="preserve">, в том числе по несущественным и формальным основаниям, не влекущим изменение рыночной стоимости объекта оценки, суды, тем не менее, приходят к выводу о несоответствии отчетов, представленных в Комиссию, требованиям действующего законодательства и незаконности принятых Комиссией решений. </w:t>
      </w:r>
    </w:p>
    <w:p w:rsidR="00DB74DA" w:rsidRPr="000E7B51"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t xml:space="preserve">Следует отметить, что Порядком создания и работы Комиссии предоставленные соответствующие ей  полномочия имеют крайне усеченный характер. Кроме того, в нормативном акте, регулирующем деятельность Комиссии, </w:t>
      </w:r>
      <w:r w:rsidRPr="000E7B51">
        <w:rPr>
          <w:rFonts w:ascii="Roboto-Regular" w:hAnsi="Roboto-Regular"/>
          <w:color w:val="000000"/>
          <w:sz w:val="28"/>
          <w:szCs w:val="28"/>
          <w:shd w:val="clear" w:color="auto" w:fill="FFFFFF"/>
        </w:rPr>
        <w:t>отсутств</w:t>
      </w:r>
      <w:r>
        <w:rPr>
          <w:rFonts w:ascii="Roboto-Regular" w:hAnsi="Roboto-Regular"/>
          <w:color w:val="000000"/>
          <w:sz w:val="28"/>
          <w:szCs w:val="28"/>
          <w:shd w:val="clear" w:color="auto" w:fill="FFFFFF"/>
        </w:rPr>
        <w:t>уют</w:t>
      </w:r>
      <w:r w:rsidRPr="000E7B51">
        <w:rPr>
          <w:rFonts w:ascii="Roboto-Regular" w:hAnsi="Roboto-Regular"/>
          <w:color w:val="000000"/>
          <w:sz w:val="28"/>
          <w:szCs w:val="28"/>
          <w:shd w:val="clear" w:color="auto" w:fill="FFFFFF"/>
        </w:rPr>
        <w:t xml:space="preserve"> конкретн</w:t>
      </w:r>
      <w:r>
        <w:rPr>
          <w:rFonts w:ascii="Roboto-Regular" w:hAnsi="Roboto-Regular"/>
          <w:color w:val="000000"/>
          <w:sz w:val="28"/>
          <w:szCs w:val="28"/>
          <w:shd w:val="clear" w:color="auto" w:fill="FFFFFF"/>
        </w:rPr>
        <w:t>ые юридические</w:t>
      </w:r>
      <w:r w:rsidRPr="000E7B51">
        <w:rPr>
          <w:rFonts w:ascii="Roboto-Regular" w:hAnsi="Roboto-Regular"/>
          <w:color w:val="000000"/>
          <w:sz w:val="28"/>
          <w:szCs w:val="28"/>
          <w:shd w:val="clear" w:color="auto" w:fill="FFFFFF"/>
        </w:rPr>
        <w:t xml:space="preserve"> предписания в отношении </w:t>
      </w:r>
      <w:r>
        <w:rPr>
          <w:rFonts w:ascii="Roboto-Regular" w:hAnsi="Roboto-Regular"/>
          <w:color w:val="000000"/>
          <w:sz w:val="28"/>
          <w:szCs w:val="28"/>
          <w:shd w:val="clear" w:color="auto" w:fill="FFFFFF"/>
        </w:rPr>
        <w:t xml:space="preserve">рассматриваемых Комиссией </w:t>
      </w:r>
      <w:r w:rsidRPr="000E7B51">
        <w:rPr>
          <w:rFonts w:ascii="Roboto-Regular" w:hAnsi="Roboto-Regular"/>
          <w:color w:val="000000"/>
          <w:sz w:val="28"/>
          <w:szCs w:val="28"/>
          <w:shd w:val="clear" w:color="auto" w:fill="FFFFFF"/>
        </w:rPr>
        <w:t>фактических обстоятельств</w:t>
      </w:r>
      <w:r>
        <w:rPr>
          <w:rFonts w:ascii="Roboto-Regular" w:hAnsi="Roboto-Regular"/>
          <w:color w:val="000000"/>
          <w:sz w:val="28"/>
          <w:szCs w:val="28"/>
          <w:shd w:val="clear" w:color="auto" w:fill="FFFFFF"/>
        </w:rPr>
        <w:t xml:space="preserve"> по указанной категории споров.</w:t>
      </w:r>
    </w:p>
    <w:p w:rsidR="00DB74DA" w:rsidRPr="0056691B" w:rsidRDefault="00DB74DA" w:rsidP="00DB74DA">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Учитывая, что в последнее время существенно увеличилось количество споров по обжалованию решений Комиссии, а </w:t>
      </w:r>
      <w:r w:rsidRPr="0056691B">
        <w:rPr>
          <w:rFonts w:ascii="Roboto-Regular" w:hAnsi="Roboto-Regular"/>
          <w:color w:val="000000"/>
          <w:sz w:val="28"/>
          <w:szCs w:val="28"/>
        </w:rPr>
        <w:t>растущая правоприменительная практика выявляет новые пробелы</w:t>
      </w:r>
      <w:r>
        <w:rPr>
          <w:rFonts w:ascii="Roboto-Regular" w:hAnsi="Roboto-Regular"/>
          <w:color w:val="000000"/>
          <w:sz w:val="28"/>
          <w:szCs w:val="28"/>
        </w:rPr>
        <w:t xml:space="preserve"> правового регулирования в рассматриваемой сфере</w:t>
      </w:r>
      <w:r w:rsidRPr="0056691B">
        <w:rPr>
          <w:rFonts w:ascii="Roboto-Regular" w:hAnsi="Roboto-Regular"/>
          <w:color w:val="000000"/>
          <w:sz w:val="28"/>
          <w:szCs w:val="28"/>
        </w:rPr>
        <w:t>, доказывая тем самым настоятельную необходимость в его совершенствовании.</w:t>
      </w:r>
    </w:p>
    <w:p w:rsidR="00DB74DA" w:rsidRDefault="00DB74DA" w:rsidP="00DB74DA">
      <w:pPr>
        <w:ind w:firstLine="540"/>
        <w:jc w:val="both"/>
        <w:rPr>
          <w:rFonts w:ascii="Times New Roman" w:hAnsi="Times New Roman"/>
          <w:sz w:val="28"/>
          <w:szCs w:val="28"/>
        </w:rPr>
      </w:pPr>
    </w:p>
    <w:p w:rsidR="00AA33AD" w:rsidRDefault="00AA33AD"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DB74DA" w:rsidRDefault="00DB74D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Главный специалист-эксперт отдела правового обеспечения Управления Росреестра по Волгоградской </w:t>
      </w:r>
      <w:r w:rsidR="00A34293">
        <w:rPr>
          <w:rFonts w:ascii="Times New Roman" w:eastAsia="Times New Roman" w:hAnsi="Times New Roman"/>
          <w:b/>
          <w:sz w:val="28"/>
          <w:szCs w:val="28"/>
          <w:lang w:eastAsia="ru-RU"/>
        </w:rPr>
        <w:t>области Ольга Мирошниченко</w:t>
      </w: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34293" w:rsidRDefault="00A34293"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34293" w:rsidRDefault="00A34293"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34293" w:rsidRPr="00AA33AD" w:rsidRDefault="00A34293"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widowControl w:val="0"/>
        <w:spacing w:before="120"/>
        <w:jc w:val="both"/>
        <w:rPr>
          <w:rFonts w:ascii="Times New Roman" w:eastAsia="Arial Unicode MS" w:hAnsi="Times New Roman"/>
          <w:b/>
          <w:noProof/>
          <w:color w:val="17365D"/>
          <w:kern w:val="2"/>
          <w:sz w:val="26"/>
          <w:szCs w:val="26"/>
          <w:lang w:eastAsia="sk-SK" w:bidi="hi-IN"/>
        </w:rPr>
      </w:pPr>
      <w:r w:rsidRPr="00AA33AD">
        <w:rPr>
          <w:rFonts w:ascii="Times New Roman" w:eastAsia="Arial Unicode MS" w:hAnsi="Times New Roman"/>
          <w:b/>
          <w:noProof/>
          <w:color w:val="17365D"/>
          <w:kern w:val="2"/>
          <w:sz w:val="26"/>
          <w:szCs w:val="26"/>
          <w:lang w:eastAsia="sk-SK" w:bidi="hi-IN"/>
        </w:rPr>
        <w:t>Контакты для СМИ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 xml:space="preserve">Контактное лицо: </w:t>
      </w:r>
      <w:r>
        <w:rPr>
          <w:rFonts w:ascii="Times New Roman" w:eastAsia="MS Mincho" w:hAnsi="Times New Roman"/>
          <w:color w:val="17365D"/>
          <w:sz w:val="26"/>
          <w:szCs w:val="26"/>
        </w:rPr>
        <w:t>п</w:t>
      </w:r>
      <w:r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DB74DA">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250DE5"/>
    <w:rsid w:val="002A130C"/>
    <w:rsid w:val="002A56C1"/>
    <w:rsid w:val="00305A6D"/>
    <w:rsid w:val="004204DF"/>
    <w:rsid w:val="004617C4"/>
    <w:rsid w:val="005572F0"/>
    <w:rsid w:val="005A302C"/>
    <w:rsid w:val="006825CC"/>
    <w:rsid w:val="00924C82"/>
    <w:rsid w:val="00997ED2"/>
    <w:rsid w:val="009F3A4F"/>
    <w:rsid w:val="00A34293"/>
    <w:rsid w:val="00A876C9"/>
    <w:rsid w:val="00AA33AD"/>
    <w:rsid w:val="00C40F21"/>
    <w:rsid w:val="00DB74DA"/>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98E6-12C3-40DE-9BFF-159FE58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2018-11-29T09:36:00Z</dcterms:created>
  <dcterms:modified xsi:type="dcterms:W3CDTF">2018-11-29T09:36:00Z</dcterms:modified>
</cp:coreProperties>
</file>