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A8" w:rsidRDefault="007879A8" w:rsidP="007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осуществления государственного кадастрового учета (далее - ГКУ) и государственной регистрации прав (далее - ГРП) на созданные объекты недвижимого имущества и объекты незавершенного строительства регулируются статьей 40 </w:t>
      </w:r>
      <w:r w:rsidRPr="00276CF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76CF3">
        <w:rPr>
          <w:sz w:val="28"/>
          <w:szCs w:val="28"/>
        </w:rPr>
        <w:t xml:space="preserve"> </w:t>
      </w:r>
      <w:hyperlink r:id="rId4" w:history="1">
        <w:proofErr w:type="gramStart"/>
        <w:r w:rsidRPr="00276CF3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276CF3">
        <w:rPr>
          <w:sz w:val="28"/>
          <w:szCs w:val="28"/>
        </w:rPr>
        <w:t xml:space="preserve"> от 13.07.2015 № 218-ФЗ «О государственной регистрации недвижимости» (далее – Закон о регистрации)</w:t>
      </w:r>
      <w:r>
        <w:rPr>
          <w:sz w:val="28"/>
          <w:szCs w:val="28"/>
        </w:rPr>
        <w:t>.</w:t>
      </w:r>
    </w:p>
    <w:p w:rsidR="007879A8" w:rsidRDefault="007879A8" w:rsidP="00787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положениям указанной статьи ГКУ и ГРП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участок, на котором расположен такой объект недвижимости</w:t>
      </w:r>
      <w:r w:rsidR="00C8701D">
        <w:rPr>
          <w:sz w:val="28"/>
          <w:szCs w:val="28"/>
        </w:rPr>
        <w:t>, а в случае</w:t>
      </w:r>
      <w:r>
        <w:rPr>
          <w:sz w:val="28"/>
          <w:szCs w:val="28"/>
        </w:rPr>
        <w:t xml:space="preserve"> объект</w:t>
      </w:r>
      <w:r w:rsidR="00C8701D">
        <w:rPr>
          <w:sz w:val="28"/>
          <w:szCs w:val="28"/>
        </w:rPr>
        <w:t>а</w:t>
      </w:r>
      <w:r>
        <w:rPr>
          <w:sz w:val="28"/>
          <w:szCs w:val="28"/>
        </w:rPr>
        <w:t xml:space="preserve"> незавершенного строительства </w:t>
      </w:r>
      <w:r w:rsidR="00C8701D">
        <w:rPr>
          <w:sz w:val="28"/>
          <w:szCs w:val="28"/>
        </w:rPr>
        <w:t>-</w:t>
      </w:r>
      <w:r>
        <w:rPr>
          <w:sz w:val="28"/>
          <w:szCs w:val="28"/>
        </w:rPr>
        <w:t xml:space="preserve"> на основании разрешения на строительство такого объекта и правоустанавливающего документа на земельный участок</w:t>
      </w:r>
      <w:r w:rsidR="00C8701D">
        <w:rPr>
          <w:sz w:val="28"/>
          <w:szCs w:val="28"/>
        </w:rPr>
        <w:t>.</w:t>
      </w:r>
      <w:proofErr w:type="gramEnd"/>
    </w:p>
    <w:p w:rsidR="00C8701D" w:rsidRDefault="00C8701D" w:rsidP="00C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ввода в эксплуатацию многоквартирного жилого дома - одновременно осуществляется ГКУ всех расположенных в нем жилых и нежилых помещений, в том числе составляющих общее имущество в таком многоквартирном доме, а также расположенных в таком многоквартирном доме машино-мест.</w:t>
      </w:r>
    </w:p>
    <w:p w:rsidR="00AA5237" w:rsidRDefault="00AA5237" w:rsidP="00AA5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Отдельного внимания заслуживают положения пункта 10 статьи 40 Закона о регистрации. Так, согласно данному пункту закона ГКУ и ГРП на созданные здание или сооружение, для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которых в соответствии с федеральными законами не требуется разрешение на строительство, осуществляются на основании технического плана таких объектов недвижимости и правоустанавливающего документа на земельный участок, на котором расположены такие объекты недвижимости. В ранее действовавшем законодательстве основаниям являлись документы на земельный участок и декларация, составленная по форме, утвержденной Правительством Российской Федерации.</w:t>
      </w:r>
    </w:p>
    <w:p w:rsidR="00AA5237" w:rsidRDefault="00AA5237" w:rsidP="00AA5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случае, </w:t>
      </w:r>
      <w:r w:rsidR="00761816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в соответствии с Земельным </w:t>
      </w:r>
      <w:hyperlink r:id="rId5" w:history="1">
        <w:r w:rsidRPr="00AA523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предусмотрена возможность размещения созданных сооружений, </w:t>
      </w:r>
      <w:r w:rsidR="00761816">
        <w:rPr>
          <w:sz w:val="28"/>
          <w:szCs w:val="28"/>
        </w:rPr>
        <w:t>или</w:t>
      </w:r>
      <w:r>
        <w:rPr>
          <w:sz w:val="28"/>
          <w:szCs w:val="28"/>
        </w:rPr>
        <w:t xml:space="preserve"> объектов незавершенного строительства без предоставления земельного участка или установления сервитута, то соответствующий документ, предоставленный</w:t>
      </w:r>
      <w:r w:rsidR="00761816">
        <w:rPr>
          <w:sz w:val="28"/>
          <w:szCs w:val="28"/>
        </w:rPr>
        <w:t xml:space="preserve"> органом местного самоуправления или исполнительной власти, является документом, подтверждающим наличие прав заявителя на земельный участок.</w:t>
      </w:r>
    </w:p>
    <w:p w:rsidR="00761816" w:rsidRPr="009D6BFB" w:rsidRDefault="00761816" w:rsidP="007618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Pr="009D6BFB">
        <w:rPr>
          <w:sz w:val="28"/>
          <w:szCs w:val="28"/>
        </w:rPr>
        <w:t>астью 17 статьи 51 Градостроительного кодекса Российской Федерации (далее – ГрК РФ) установлены случаи, когда выдача разрешения на строительство не требуется. В данной статье также указано, что иные случаи могут быть установлены законодательством субъектов Российской Федерации о градостроительной деятельности.</w:t>
      </w:r>
    </w:p>
    <w:p w:rsidR="00761816" w:rsidRDefault="00761816" w:rsidP="007618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9076E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5</w:t>
      </w:r>
      <w:r w:rsidRPr="0039076E">
        <w:rPr>
          <w:sz w:val="28"/>
          <w:szCs w:val="28"/>
        </w:rPr>
        <w:t xml:space="preserve"> пункта 1 статьи 35 Закона Волгоградской области от 24.11.2008 № 1786-ОД </w:t>
      </w:r>
      <w:r>
        <w:rPr>
          <w:sz w:val="28"/>
          <w:szCs w:val="28"/>
        </w:rPr>
        <w:t>«</w:t>
      </w:r>
      <w:r w:rsidRPr="0039076E">
        <w:rPr>
          <w:sz w:val="28"/>
          <w:szCs w:val="28"/>
        </w:rPr>
        <w:t>Градостроительный кодекс Волгоградской области</w:t>
      </w:r>
      <w:r>
        <w:rPr>
          <w:sz w:val="28"/>
          <w:szCs w:val="28"/>
        </w:rPr>
        <w:t>»</w:t>
      </w:r>
      <w:r w:rsidRPr="00390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ГрК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) </w:t>
      </w:r>
      <w:r w:rsidRPr="0039076E">
        <w:rPr>
          <w:sz w:val="28"/>
          <w:szCs w:val="28"/>
        </w:rPr>
        <w:t>получение разрешения на строительство помимо случаев, установленных Градостроительным кодексом Российской Федерации, не требуется также в случа</w:t>
      </w:r>
      <w:r>
        <w:rPr>
          <w:sz w:val="28"/>
          <w:szCs w:val="28"/>
        </w:rPr>
        <w:t>ях:</w:t>
      </w:r>
    </w:p>
    <w:p w:rsidR="00761816" w:rsidRPr="004F564F" w:rsidRDefault="00761816" w:rsidP="007618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564F">
        <w:rPr>
          <w:sz w:val="28"/>
          <w:szCs w:val="28"/>
        </w:rPr>
        <w:lastRenderedPageBreak/>
        <w:t>строительства, реконструкции объектов сети газораспределения и (или) газопотребления с давлением до 0,6 МПа (включительно) организациями, осуществляющими подключение (технологическое присоединение) объекта капитального строительства к сетям газораспределения и (или) газопотребления;</w:t>
      </w:r>
    </w:p>
    <w:p w:rsidR="00761816" w:rsidRDefault="00761816" w:rsidP="007618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564F">
        <w:rPr>
          <w:sz w:val="28"/>
          <w:szCs w:val="28"/>
        </w:rPr>
        <w:t xml:space="preserve">строительства, реконструкции водопроводов внутренним диаметром до </w:t>
      </w:r>
      <w:smartTag w:uri="urn:schemas-microsoft-com:office:smarttags" w:element="metricconverter">
        <w:smartTagPr>
          <w:attr w:name="ProductID" w:val="300 миллиметров"/>
        </w:smartTagPr>
        <w:r w:rsidRPr="004F564F">
          <w:rPr>
            <w:sz w:val="28"/>
            <w:szCs w:val="28"/>
          </w:rPr>
          <w:t>300 миллиметров</w:t>
        </w:r>
      </w:smartTag>
      <w:r w:rsidRPr="004F564F">
        <w:rPr>
          <w:sz w:val="28"/>
          <w:szCs w:val="28"/>
        </w:rPr>
        <w:t xml:space="preserve"> включительно</w:t>
      </w:r>
      <w:r w:rsidRPr="005E5616">
        <w:rPr>
          <w:sz w:val="28"/>
          <w:szCs w:val="28"/>
        </w:rPr>
        <w:t>.</w:t>
      </w:r>
    </w:p>
    <w:p w:rsidR="00761816" w:rsidRPr="005E5616" w:rsidRDefault="00761816" w:rsidP="007618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согласно п. 2 ст. 35 ГрК ВО </w:t>
      </w:r>
      <w:r w:rsidRPr="005E5616">
        <w:rPr>
          <w:sz w:val="28"/>
          <w:szCs w:val="28"/>
        </w:rPr>
        <w:t>в указанном выше случае получение разрешения на строительство не требуется, если в орган местного самоуправления муниципального образования, на территории которого планируется осуществлять строительство, реконструкцию таких объектов, застройщиком направлено уведомление, содержащее информацию о сроках начала и окончания строительства, реконструкции объекта, о его месте размещения, протяженности, наличии на территории строительства существующих, проектируемых, сносимых</w:t>
      </w:r>
      <w:proofErr w:type="gramEnd"/>
      <w:r w:rsidRPr="005E5616">
        <w:rPr>
          <w:sz w:val="28"/>
          <w:szCs w:val="28"/>
        </w:rPr>
        <w:t xml:space="preserve"> зданий и сооружений, трасс сетей инженерно-технического обеспечения, сопутствующих и пересекаемых коммуникаций, и схема, отображающая расположение построенного, реконструированног</w:t>
      </w:r>
      <w:r w:rsidR="00111F88">
        <w:rPr>
          <w:sz w:val="28"/>
          <w:szCs w:val="28"/>
        </w:rPr>
        <w:t>о объекта</w:t>
      </w:r>
      <w:r w:rsidRPr="005E5616">
        <w:rPr>
          <w:sz w:val="28"/>
          <w:szCs w:val="28"/>
        </w:rPr>
        <w:t>.</w:t>
      </w:r>
    </w:p>
    <w:p w:rsidR="00761816" w:rsidRDefault="00761816" w:rsidP="007618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 изложенных правовых норм следует, что строительство (реконструкция) </w:t>
      </w:r>
      <w:r w:rsidR="00111F88">
        <w:rPr>
          <w:sz w:val="28"/>
          <w:szCs w:val="28"/>
        </w:rPr>
        <w:t>определенных объектов недвижимого имущества</w:t>
      </w:r>
      <w:r>
        <w:rPr>
          <w:sz w:val="28"/>
          <w:szCs w:val="28"/>
        </w:rPr>
        <w:t xml:space="preserve"> без разрешения на строительство ГрК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допускается при соблюдении указанных выше условий.</w:t>
      </w:r>
    </w:p>
    <w:p w:rsidR="00761816" w:rsidRPr="005E5616" w:rsidRDefault="00111F88" w:rsidP="007618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отметить, что в соответствии с положениями Закона о регистрации </w:t>
      </w:r>
      <w:proofErr w:type="gramStart"/>
      <w:r>
        <w:rPr>
          <w:sz w:val="28"/>
          <w:szCs w:val="28"/>
        </w:rPr>
        <w:t>р</w:t>
      </w:r>
      <w:r w:rsidR="00761816" w:rsidRPr="005E5616">
        <w:rPr>
          <w:sz w:val="28"/>
          <w:szCs w:val="28"/>
        </w:rPr>
        <w:t>ешение</w:t>
      </w:r>
      <w:proofErr w:type="gramEnd"/>
      <w:r w:rsidR="00761816" w:rsidRPr="005E5616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>ГКУ и ГРП</w:t>
      </w:r>
      <w:r w:rsidR="00761816" w:rsidRPr="005E5616">
        <w:rPr>
          <w:sz w:val="28"/>
          <w:szCs w:val="28"/>
        </w:rPr>
        <w:t xml:space="preserve"> принимается</w:t>
      </w:r>
      <w:r w:rsidR="006B70EF">
        <w:rPr>
          <w:sz w:val="28"/>
          <w:szCs w:val="28"/>
        </w:rPr>
        <w:t xml:space="preserve"> государственным регистратором</w:t>
      </w:r>
      <w:r w:rsidR="00761816" w:rsidRPr="005E5616">
        <w:rPr>
          <w:sz w:val="28"/>
          <w:szCs w:val="28"/>
        </w:rPr>
        <w:t xml:space="preserve"> по результатам проведения правовой экспертизы представленных документов</w:t>
      </w:r>
      <w:r w:rsidR="006B70EF">
        <w:rPr>
          <w:sz w:val="28"/>
          <w:szCs w:val="28"/>
        </w:rPr>
        <w:t>, в ходе которой определяется достаточность и правовая обоснованность таких документов</w:t>
      </w:r>
      <w:r w:rsidR="00761816" w:rsidRPr="005E5616">
        <w:rPr>
          <w:sz w:val="28"/>
          <w:szCs w:val="28"/>
        </w:rPr>
        <w:t>.</w:t>
      </w:r>
    </w:p>
    <w:p w:rsidR="00761816" w:rsidRDefault="00761816" w:rsidP="00AA5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237" w:rsidRDefault="00AA5237" w:rsidP="00AA5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701D" w:rsidRDefault="00C8701D" w:rsidP="00787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9A8" w:rsidRPr="007879A8" w:rsidRDefault="007879A8" w:rsidP="007879A8">
      <w:pPr>
        <w:ind w:firstLine="709"/>
        <w:jc w:val="both"/>
        <w:rPr>
          <w:sz w:val="28"/>
          <w:szCs w:val="28"/>
        </w:rPr>
      </w:pPr>
    </w:p>
    <w:sectPr w:rsidR="007879A8" w:rsidRPr="0078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A8"/>
    <w:rsid w:val="00111F88"/>
    <w:rsid w:val="001333B0"/>
    <w:rsid w:val="006B70EF"/>
    <w:rsid w:val="00761816"/>
    <w:rsid w:val="007879A8"/>
    <w:rsid w:val="00AA5237"/>
    <w:rsid w:val="00C8701D"/>
    <w:rsid w:val="00C9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7879A8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6665B002C10EE9D354D69E50A1D89ACFAB5ED22C4F7BE833B8F2AE88iCKFL" TargetMode="External"/><Relationship Id="rId4" Type="http://schemas.openxmlformats.org/officeDocument/2006/relationships/hyperlink" Target="consultantplus://offline/ref=7DF9014B9585B4747E777FE5FE47429DE9D53A76F7966D22045D4BEC99m9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4602</CharactersWithSpaces>
  <SharedDoc>false</SharedDoc>
  <HLinks>
    <vt:vector size="12" baseType="variant"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consultantplus://offline/ref=A56665B002C10EE9D354D69E50A1D89ACFAB5ED22C4F7BE833B8F2AE88iCKFL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consultantplus://offline/ref=7DF9014B9585B4747E777FE5FE47429DE9D53A76F7966D22045D4BEC99m9MFI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</dc:creator>
  <cp:keywords/>
  <cp:lastModifiedBy>Евсиков Андрей</cp:lastModifiedBy>
  <cp:revision>2</cp:revision>
  <dcterms:created xsi:type="dcterms:W3CDTF">2017-10-26T13:26:00Z</dcterms:created>
  <dcterms:modified xsi:type="dcterms:W3CDTF">2017-10-26T13:26:00Z</dcterms:modified>
</cp:coreProperties>
</file>