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7D" w:rsidRDefault="0007443B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17D" w:rsidRDefault="000A717D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0A717D" w:rsidRDefault="0007443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16 июля 2020</w:t>
      </w:r>
    </w:p>
    <w:p w:rsidR="000A717D" w:rsidRDefault="000A717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  <w:bookmarkStart w:id="0" w:name="_GoBack"/>
      <w:bookmarkEnd w:id="0"/>
    </w:p>
    <w:p w:rsidR="000A717D" w:rsidRDefault="000A717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A717D" w:rsidRDefault="0007443B">
      <w:pPr>
        <w:jc w:val="center"/>
        <w:rPr>
          <w:rFonts w:hint="eastAsia"/>
        </w:rPr>
      </w:pPr>
      <w:r>
        <w:rPr>
          <w:rStyle w:val="a4"/>
          <w:sz w:val="28"/>
          <w:szCs w:val="28"/>
        </w:rPr>
        <w:t xml:space="preserve">Первые соглашения о распоряжении </w:t>
      </w:r>
      <w:proofErr w:type="spellStart"/>
      <w:r>
        <w:rPr>
          <w:rStyle w:val="a4"/>
          <w:sz w:val="28"/>
          <w:szCs w:val="28"/>
        </w:rPr>
        <w:t>маткапиталом</w:t>
      </w:r>
      <w:proofErr w:type="spellEnd"/>
      <w:r>
        <w:rPr>
          <w:rStyle w:val="a4"/>
          <w:sz w:val="28"/>
          <w:szCs w:val="28"/>
        </w:rPr>
        <w:t xml:space="preserve"> через банки</w:t>
      </w:r>
    </w:p>
    <w:p w:rsidR="000A717D" w:rsidRDefault="0007443B">
      <w:pPr>
        <w:jc w:val="center"/>
        <w:rPr>
          <w:rFonts w:hint="eastAsia"/>
        </w:rPr>
      </w:pPr>
      <w:proofErr w:type="gramStart"/>
      <w:r>
        <w:rPr>
          <w:rStyle w:val="a4"/>
          <w:sz w:val="28"/>
          <w:szCs w:val="28"/>
        </w:rPr>
        <w:t>заключены</w:t>
      </w:r>
      <w:proofErr w:type="gramEnd"/>
      <w:r>
        <w:rPr>
          <w:rStyle w:val="a4"/>
          <w:sz w:val="28"/>
          <w:szCs w:val="28"/>
        </w:rPr>
        <w:t xml:space="preserve"> в регионе</w:t>
      </w:r>
    </w:p>
    <w:p w:rsidR="000A717D" w:rsidRDefault="000A717D">
      <w:pPr>
        <w:jc w:val="center"/>
        <w:rPr>
          <w:rStyle w:val="a4"/>
          <w:rFonts w:hint="eastAsia"/>
          <w:sz w:val="28"/>
          <w:szCs w:val="28"/>
        </w:rPr>
      </w:pPr>
    </w:p>
    <w:p w:rsidR="000A717D" w:rsidRDefault="0007443B">
      <w:pPr>
        <w:jc w:val="both"/>
        <w:rPr>
          <w:rFonts w:hint="eastAsia"/>
        </w:rPr>
      </w:pPr>
      <w:r>
        <w:rPr>
          <w:sz w:val="28"/>
          <w:szCs w:val="28"/>
        </w:rPr>
        <w:tab/>
        <w:t>Вместо двух обращений – в банк и Пенсионный фонд – семье теперь достаточно обратиться только в кредитно-финансовое учреждение.</w:t>
      </w:r>
    </w:p>
    <w:p w:rsidR="000A717D" w:rsidRDefault="0007443B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Отделение Пенсионного фонда России по Волгоградской области заключило соглашения об информационном взаимодействии с банками, для того чтобы семьи могли распоряжаться материнским капиталом (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) на улучшение жилищных условий непосредственно через кредитные </w:t>
      </w:r>
      <w:r>
        <w:rPr>
          <w:sz w:val="28"/>
          <w:szCs w:val="28"/>
        </w:rPr>
        <w:t>организации.</w:t>
      </w:r>
    </w:p>
    <w:p w:rsidR="000A717D" w:rsidRDefault="0007443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Всего на  сегодняшний день подписано 7 соглашений, в том числе с такими крупными банками, как ВТБ, Сбербанк,  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, Банк </w:t>
      </w:r>
      <w:proofErr w:type="spellStart"/>
      <w:r>
        <w:rPr>
          <w:sz w:val="28"/>
          <w:szCs w:val="28"/>
        </w:rPr>
        <w:t>Уралсиб</w:t>
      </w:r>
      <w:proofErr w:type="spellEnd"/>
      <w:r>
        <w:rPr>
          <w:sz w:val="28"/>
          <w:szCs w:val="28"/>
        </w:rPr>
        <w:t xml:space="preserve">, Банк ФК Открытие, МТС-Банк и </w:t>
      </w:r>
      <w:proofErr w:type="spellStart"/>
      <w:r>
        <w:rPr>
          <w:sz w:val="28"/>
          <w:szCs w:val="28"/>
        </w:rPr>
        <w:t>ЮниКредит</w:t>
      </w:r>
      <w:proofErr w:type="spellEnd"/>
      <w:r>
        <w:rPr>
          <w:sz w:val="28"/>
          <w:szCs w:val="28"/>
        </w:rPr>
        <w:t xml:space="preserve"> Банк, которые обладают разветвленной сетью отделений и предоста</w:t>
      </w:r>
      <w:r>
        <w:rPr>
          <w:sz w:val="28"/>
          <w:szCs w:val="28"/>
        </w:rPr>
        <w:t>вляют семьям кредиты с государственной поддержкой.</w:t>
      </w:r>
    </w:p>
    <w:p w:rsidR="000A717D" w:rsidRDefault="0007443B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Владельцы сертификата на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 могут обратиться в эти банки и одновременно с оформлением кредита на покупку или строительство жилья подать заявление об оплате </w:t>
      </w:r>
      <w:proofErr w:type="spellStart"/>
      <w:r>
        <w:rPr>
          <w:sz w:val="28"/>
          <w:szCs w:val="28"/>
        </w:rPr>
        <w:t>маткапиталом</w:t>
      </w:r>
      <w:proofErr w:type="spellEnd"/>
      <w:r>
        <w:rPr>
          <w:sz w:val="28"/>
          <w:szCs w:val="28"/>
        </w:rPr>
        <w:t xml:space="preserve"> первого взноса, процентов или осно</w:t>
      </w:r>
      <w:r>
        <w:rPr>
          <w:sz w:val="28"/>
          <w:szCs w:val="28"/>
        </w:rPr>
        <w:t xml:space="preserve">вного долга по такому кредиту. </w:t>
      </w:r>
    </w:p>
    <w:p w:rsidR="000A717D" w:rsidRDefault="0007443B">
      <w:pPr>
        <w:jc w:val="both"/>
        <w:rPr>
          <w:rFonts w:hint="eastAsia"/>
        </w:rPr>
      </w:pPr>
      <w:r>
        <w:rPr>
          <w:sz w:val="28"/>
          <w:szCs w:val="28"/>
        </w:rPr>
        <w:tab/>
        <w:t>Все необходимые документы банки передают в Пенсионный фонд самостоятельно, по защищенным электронным каналам, что позволяет ускорить распоряжение материнским капиталом.</w:t>
      </w:r>
    </w:p>
    <w:p w:rsidR="000A717D" w:rsidRDefault="0007443B">
      <w:pPr>
        <w:jc w:val="both"/>
        <w:rPr>
          <w:rFonts w:hint="eastAsia"/>
        </w:rPr>
      </w:pPr>
      <w:r>
        <w:rPr>
          <w:sz w:val="28"/>
          <w:szCs w:val="28"/>
        </w:rPr>
        <w:tab/>
        <w:t>Необходимые документы, поступившие из кредитной орган</w:t>
      </w:r>
      <w:r>
        <w:rPr>
          <w:sz w:val="28"/>
          <w:szCs w:val="28"/>
        </w:rPr>
        <w:t>изации или единого института развития в жилищной сфере, подлежат рассмотрению территориальным органом Пенсионного фонда РФ в течение пяти рабочих дней, перечисление средств осуществляется в течение трёх рабочих дней.</w:t>
      </w:r>
    </w:p>
    <w:p w:rsidR="000A717D" w:rsidRDefault="000A717D">
      <w:pPr>
        <w:jc w:val="both"/>
        <w:rPr>
          <w:rFonts w:hint="eastAsia"/>
          <w:color w:val="auto"/>
          <w:sz w:val="28"/>
          <w:szCs w:val="28"/>
        </w:rPr>
      </w:pPr>
    </w:p>
    <w:p w:rsidR="000A717D" w:rsidRDefault="0007443B">
      <w:pPr>
        <w:jc w:val="both"/>
        <w:rPr>
          <w:rFonts w:ascii="Century Gothic" w:hAnsi="Century Gothic" w:hint="eastAsia"/>
          <w:b/>
          <w:bCs/>
          <w:color w:val="auto"/>
          <w:sz w:val="26"/>
          <w:szCs w:val="26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tab/>
        <w:t>С начала 2020 года Центр ПФР № 1 выда</w:t>
      </w:r>
      <w:r>
        <w:rPr>
          <w:rFonts w:ascii="Century Gothic" w:hAnsi="Century Gothic"/>
          <w:b/>
          <w:bCs/>
          <w:color w:val="auto"/>
          <w:sz w:val="28"/>
          <w:szCs w:val="28"/>
        </w:rPr>
        <w:t xml:space="preserve">л 1 154 сертификата на материнский капитал, из них 563 документа — в электронном виде. 633 семьи города Волжского и сельских районов направили средства </w:t>
      </w:r>
      <w:proofErr w:type="spellStart"/>
      <w:r>
        <w:rPr>
          <w:rFonts w:ascii="Century Gothic" w:hAnsi="Century Gothic"/>
          <w:b/>
          <w:bCs/>
          <w:color w:val="auto"/>
          <w:sz w:val="28"/>
          <w:szCs w:val="28"/>
        </w:rPr>
        <w:t>маткапитала</w:t>
      </w:r>
      <w:proofErr w:type="spellEnd"/>
      <w:r>
        <w:rPr>
          <w:rFonts w:ascii="Century Gothic" w:hAnsi="Century Gothic"/>
          <w:b/>
          <w:bCs/>
          <w:color w:val="auto"/>
          <w:sz w:val="28"/>
          <w:szCs w:val="28"/>
        </w:rPr>
        <w:t xml:space="preserve"> на уплату первоначального взноса по кредиту, погашение банковского долга или оплату проценто</w:t>
      </w:r>
      <w:r>
        <w:rPr>
          <w:rFonts w:ascii="Century Gothic" w:hAnsi="Century Gothic"/>
          <w:b/>
          <w:bCs/>
          <w:color w:val="auto"/>
          <w:sz w:val="28"/>
          <w:szCs w:val="28"/>
        </w:rPr>
        <w:t xml:space="preserve">в по ипотеке. Пенсионный фонд перечислил таким семьям почти 230 </w:t>
      </w:r>
      <w:proofErr w:type="gramStart"/>
      <w:r>
        <w:rPr>
          <w:rFonts w:ascii="Century Gothic" w:hAnsi="Century Gothic"/>
          <w:b/>
          <w:bCs/>
          <w:color w:val="auto"/>
          <w:sz w:val="28"/>
          <w:szCs w:val="28"/>
        </w:rPr>
        <w:t>млн</w:t>
      </w:r>
      <w:proofErr w:type="gramEnd"/>
      <w:r>
        <w:rPr>
          <w:rFonts w:ascii="Century Gothic" w:hAnsi="Century Gothic"/>
          <w:b/>
          <w:bCs/>
          <w:color w:val="auto"/>
          <w:sz w:val="28"/>
          <w:szCs w:val="28"/>
        </w:rPr>
        <w:t xml:space="preserve"> рублей.  Ещё 353 семьи потратили «материнские» деньги на улучшение своих жилищных условий без привлечения кредита — им направлено 147 </w:t>
      </w:r>
      <w:proofErr w:type="gramStart"/>
      <w:r>
        <w:rPr>
          <w:rFonts w:ascii="Century Gothic" w:hAnsi="Century Gothic"/>
          <w:b/>
          <w:bCs/>
          <w:color w:val="auto"/>
          <w:sz w:val="28"/>
          <w:szCs w:val="28"/>
        </w:rPr>
        <w:t>млн</w:t>
      </w:r>
      <w:proofErr w:type="gramEnd"/>
      <w:r>
        <w:rPr>
          <w:rFonts w:ascii="Century Gothic" w:hAnsi="Century Gothic"/>
          <w:b/>
          <w:bCs/>
          <w:color w:val="auto"/>
          <w:sz w:val="28"/>
          <w:szCs w:val="28"/>
        </w:rPr>
        <w:t xml:space="preserve"> рублей. </w:t>
      </w:r>
    </w:p>
    <w:p w:rsidR="000A717D" w:rsidRDefault="000A717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A717D" w:rsidRDefault="000A717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A717D" w:rsidRDefault="000A717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A717D" w:rsidRDefault="000A717D">
      <w:pPr>
        <w:jc w:val="right"/>
        <w:rPr>
          <w:rFonts w:ascii="Century Gothic" w:hAnsi="Century Gothic" w:hint="eastAsia"/>
          <w:b/>
          <w:bCs/>
          <w:color w:val="auto"/>
          <w:sz w:val="26"/>
          <w:szCs w:val="26"/>
        </w:rPr>
      </w:pPr>
    </w:p>
    <w:p w:rsidR="000A717D" w:rsidRDefault="0007443B">
      <w:pPr>
        <w:jc w:val="right"/>
        <w:rPr>
          <w:rFonts w:hint="eastAsia"/>
          <w:color w:val="auto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t>ЦЕНТР ПФР № 1</w:t>
      </w:r>
    </w:p>
    <w:p w:rsidR="000A717D" w:rsidRDefault="0007443B">
      <w:pPr>
        <w:jc w:val="right"/>
        <w:rPr>
          <w:rFonts w:hint="eastAsia"/>
          <w:color w:val="auto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t>по установлению пенсий</w:t>
      </w:r>
    </w:p>
    <w:p w:rsidR="000A717D" w:rsidRDefault="0007443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t>в Волгоградской области</w:t>
      </w:r>
    </w:p>
    <w:sectPr w:rsidR="000A717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7D"/>
    <w:rsid w:val="0007443B"/>
    <w:rsid w:val="000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Агбалян</dc:creator>
  <cp:lastModifiedBy>Нелли Агбалян</cp:lastModifiedBy>
  <cp:revision>2</cp:revision>
  <cp:lastPrinted>2019-01-21T14:47:00Z</cp:lastPrinted>
  <dcterms:created xsi:type="dcterms:W3CDTF">2020-07-16T09:51:00Z</dcterms:created>
  <dcterms:modified xsi:type="dcterms:W3CDTF">2020-07-16T09:51:00Z</dcterms:modified>
  <dc:language>ru-RU</dc:language>
</cp:coreProperties>
</file>